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170" w:rsidRDefault="0026723F" w:rsidP="00915C35">
      <w:pPr>
        <w:contextualSpacing/>
        <w:jc w:val="right"/>
        <w:rPr>
          <w:rFonts w:ascii="Times New Roman" w:hAnsi="Times New Roman" w:cs="Times New Roman"/>
          <w:sz w:val="20"/>
          <w:szCs w:val="24"/>
        </w:rPr>
      </w:pPr>
      <w:r w:rsidRPr="00842532">
        <w:rPr>
          <w:rFonts w:ascii="Times New Roman" w:hAnsi="Times New Roman" w:cs="Times New Roman"/>
          <w:sz w:val="24"/>
          <w:szCs w:val="24"/>
        </w:rPr>
        <w:t xml:space="preserve"> </w:t>
      </w:r>
      <w:r w:rsidR="00DD2056">
        <w:rPr>
          <w:rFonts w:ascii="Times New Roman" w:hAnsi="Times New Roman" w:cs="Times New Roman"/>
          <w:sz w:val="20"/>
          <w:szCs w:val="24"/>
        </w:rPr>
        <w:t>Рекомендуемая</w:t>
      </w:r>
      <w:r w:rsidR="0041142C" w:rsidRPr="00C36D74">
        <w:rPr>
          <w:rFonts w:ascii="Times New Roman" w:hAnsi="Times New Roman" w:cs="Times New Roman"/>
          <w:sz w:val="20"/>
          <w:szCs w:val="24"/>
        </w:rPr>
        <w:t xml:space="preserve"> форма </w:t>
      </w:r>
    </w:p>
    <w:p w:rsidR="00814A5A" w:rsidRPr="00C36D74" w:rsidRDefault="00814A5A" w:rsidP="00915C35">
      <w:pPr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BF56B1" w:rsidRDefault="00F71D07" w:rsidP="00C36D74">
      <w:pPr>
        <w:ind w:hanging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32">
        <w:rPr>
          <w:rFonts w:ascii="Times New Roman" w:hAnsi="Times New Roman" w:cs="Times New Roman"/>
          <w:b/>
          <w:sz w:val="24"/>
          <w:szCs w:val="24"/>
        </w:rPr>
        <w:t xml:space="preserve">Ключевая информация </w:t>
      </w:r>
      <w:r w:rsidR="00A562CE" w:rsidRPr="00842532">
        <w:rPr>
          <w:rFonts w:ascii="Times New Roman" w:hAnsi="Times New Roman" w:cs="Times New Roman"/>
          <w:b/>
          <w:sz w:val="24"/>
          <w:szCs w:val="24"/>
        </w:rPr>
        <w:t>о договоре</w:t>
      </w:r>
      <w:r w:rsidR="00DA60C9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A562CE" w:rsidRPr="00842532">
        <w:rPr>
          <w:rFonts w:ascii="Times New Roman" w:hAnsi="Times New Roman" w:cs="Times New Roman"/>
          <w:b/>
          <w:sz w:val="24"/>
          <w:szCs w:val="24"/>
        </w:rPr>
        <w:t xml:space="preserve"> брокерско</w:t>
      </w:r>
      <w:r w:rsidR="00DA60C9">
        <w:rPr>
          <w:rFonts w:ascii="Times New Roman" w:hAnsi="Times New Roman" w:cs="Times New Roman"/>
          <w:b/>
          <w:sz w:val="24"/>
          <w:szCs w:val="24"/>
        </w:rPr>
        <w:t>м</w:t>
      </w:r>
      <w:r w:rsidR="00A562CE" w:rsidRPr="00842532">
        <w:rPr>
          <w:rFonts w:ascii="Times New Roman" w:hAnsi="Times New Roman" w:cs="Times New Roman"/>
          <w:b/>
          <w:sz w:val="24"/>
          <w:szCs w:val="24"/>
        </w:rPr>
        <w:t xml:space="preserve"> обслуживани</w:t>
      </w:r>
      <w:r w:rsidR="00DA60C9">
        <w:rPr>
          <w:rFonts w:ascii="Times New Roman" w:hAnsi="Times New Roman" w:cs="Times New Roman"/>
          <w:b/>
          <w:sz w:val="24"/>
          <w:szCs w:val="24"/>
        </w:rPr>
        <w:t>и</w:t>
      </w:r>
      <w:r w:rsidR="00E32A5C">
        <w:rPr>
          <w:rStyle w:val="a5"/>
          <w:rFonts w:ascii="Times New Roman" w:hAnsi="Times New Roman" w:cs="Times New Roman"/>
          <w:sz w:val="20"/>
          <w:szCs w:val="24"/>
        </w:rPr>
        <w:footnoteReference w:id="1"/>
      </w:r>
    </w:p>
    <w:p w:rsidR="00BF2B40" w:rsidRPr="00C36D74" w:rsidRDefault="00BF2B40" w:rsidP="00BF2B40">
      <w:pPr>
        <w:contextualSpacing/>
        <w:jc w:val="center"/>
        <w:rPr>
          <w:rFonts w:ascii="Times New Roman" w:hAnsi="Times New Roman" w:cs="Times New Roman"/>
          <w:sz w:val="10"/>
          <w:szCs w:val="24"/>
        </w:rPr>
      </w:pPr>
    </w:p>
    <w:p w:rsidR="00AA442C" w:rsidRDefault="00BF2B40" w:rsidP="00BD20AA">
      <w:pPr>
        <w:spacing w:line="240" w:lineRule="auto"/>
        <w:ind w:left="-567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532">
        <w:rPr>
          <w:rFonts w:ascii="Times New Roman" w:hAnsi="Times New Roman" w:cs="Times New Roman"/>
          <w:sz w:val="24"/>
          <w:szCs w:val="24"/>
        </w:rPr>
        <w:t xml:space="preserve">Предоставляемый перечень информации о договоре о брокерском обслуживании является минимальным, не заменяет собой все условия договора о брокерском обслуживании, а также необходимость ознакомиться с полным текстом договора о брокерском обслуживании. </w:t>
      </w:r>
    </w:p>
    <w:p w:rsidR="00F528DB" w:rsidRDefault="00AA442C" w:rsidP="00BD20AA">
      <w:pPr>
        <w:spacing w:line="240" w:lineRule="auto"/>
        <w:ind w:left="-567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42532">
        <w:rPr>
          <w:rFonts w:ascii="Times New Roman" w:hAnsi="Times New Roman" w:cs="Times New Roman"/>
          <w:sz w:val="24"/>
          <w:szCs w:val="24"/>
        </w:rPr>
        <w:t>оговор</w:t>
      </w:r>
      <w:r>
        <w:rPr>
          <w:rFonts w:ascii="Times New Roman" w:hAnsi="Times New Roman" w:cs="Times New Roman"/>
          <w:sz w:val="24"/>
          <w:szCs w:val="24"/>
        </w:rPr>
        <w:t xml:space="preserve"> о брокерском обслуживании</w:t>
      </w:r>
      <w:r w:rsidRPr="00842532">
        <w:rPr>
          <w:rFonts w:ascii="Times New Roman" w:hAnsi="Times New Roman" w:cs="Times New Roman"/>
          <w:sz w:val="24"/>
          <w:szCs w:val="24"/>
        </w:rPr>
        <w:t xml:space="preserve"> не является вкладом. Средства, размещенные на брокерском счете, не застрахованы (не гарантированы) государством. Вы можете потерять все, что вложили</w:t>
      </w:r>
      <w:r w:rsidR="00911EA4">
        <w:rPr>
          <w:rFonts w:ascii="Times New Roman" w:hAnsi="Times New Roman" w:cs="Times New Roman"/>
          <w:sz w:val="24"/>
          <w:szCs w:val="24"/>
        </w:rPr>
        <w:t>, а в некоторых случаях – остаться должны</w:t>
      </w:r>
      <w:r w:rsidRPr="00842532">
        <w:rPr>
          <w:rFonts w:ascii="Times New Roman" w:hAnsi="Times New Roman" w:cs="Times New Roman"/>
          <w:sz w:val="24"/>
          <w:szCs w:val="24"/>
        </w:rPr>
        <w:t>. В случае потерь компенсаций не предусмотрено. Доход не гарантирован.</w:t>
      </w:r>
      <w:r w:rsidR="00F528DB" w:rsidRPr="00F528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8DB" w:rsidRDefault="009769C0" w:rsidP="00BD20AA">
      <w:pPr>
        <w:spacing w:line="240" w:lineRule="auto"/>
        <w:ind w:left="-567" w:firstLine="42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Ознакомьтесь с</w:t>
      </w:r>
      <w:r w:rsidR="00F528DB">
        <w:rPr>
          <w:rFonts w:ascii="Times New Roman" w:hAnsi="Times New Roman" w:cs="Times New Roman"/>
          <w:sz w:val="24"/>
          <w:szCs w:val="24"/>
        </w:rPr>
        <w:t xml:space="preserve"> деклараци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F528DB">
        <w:rPr>
          <w:rFonts w:ascii="Times New Roman" w:hAnsi="Times New Roman" w:cs="Times New Roman"/>
          <w:sz w:val="24"/>
          <w:szCs w:val="24"/>
        </w:rPr>
        <w:t xml:space="preserve"> о рисках, связанных с совершением операций на рынке ценных бумаг</w:t>
      </w:r>
      <w:r w:rsidR="00797ADD">
        <w:rPr>
          <w:rFonts w:ascii="Times New Roman" w:hAnsi="Times New Roman" w:cs="Times New Roman"/>
          <w:sz w:val="24"/>
          <w:szCs w:val="24"/>
        </w:rPr>
        <w:t>, которые брокер должен предоста</w:t>
      </w:r>
      <w:r w:rsidR="00814A5A">
        <w:rPr>
          <w:rFonts w:ascii="Times New Roman" w:hAnsi="Times New Roman" w:cs="Times New Roman"/>
          <w:sz w:val="24"/>
          <w:szCs w:val="24"/>
        </w:rPr>
        <w:t xml:space="preserve">вить Вам до заключения договора о брокерском обслуживании. </w:t>
      </w:r>
    </w:p>
    <w:p w:rsidR="00814A5A" w:rsidRPr="00842532" w:rsidRDefault="00814A5A" w:rsidP="00750566">
      <w:pPr>
        <w:spacing w:line="240" w:lineRule="auto"/>
        <w:ind w:left="-567" w:firstLine="425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10065" w:type="dxa"/>
        <w:tblInd w:w="-714" w:type="dxa"/>
        <w:tblLook w:val="04A0" w:firstRow="1" w:lastRow="0" w:firstColumn="1" w:lastColumn="0" w:noHBand="0" w:noVBand="1"/>
      </w:tblPr>
      <w:tblGrid>
        <w:gridCol w:w="456"/>
        <w:gridCol w:w="2034"/>
        <w:gridCol w:w="7575"/>
      </w:tblGrid>
      <w:tr w:rsidR="00BF2B40" w:rsidTr="00200E5B">
        <w:tc>
          <w:tcPr>
            <w:tcW w:w="456" w:type="dxa"/>
          </w:tcPr>
          <w:p w:rsidR="00BF2B40" w:rsidRPr="00E731D9" w:rsidRDefault="00BF2B40" w:rsidP="004F28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731D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1</w:t>
            </w:r>
          </w:p>
        </w:tc>
        <w:tc>
          <w:tcPr>
            <w:tcW w:w="2034" w:type="dxa"/>
          </w:tcPr>
          <w:p w:rsidR="00BF2B40" w:rsidRPr="005A2499" w:rsidRDefault="00D85A7D" w:rsidP="00BF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 договора</w:t>
            </w:r>
            <w:r w:rsidR="00BF2B40" w:rsidRPr="005A2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75" w:type="dxa"/>
          </w:tcPr>
          <w:p w:rsidR="00B73E22" w:rsidRDefault="00BF2B40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532">
              <w:rPr>
                <w:rFonts w:ascii="Times New Roman" w:hAnsi="Times New Roman" w:cs="Times New Roman"/>
                <w:sz w:val="24"/>
                <w:szCs w:val="24"/>
              </w:rPr>
              <w:t>Предметом договора о брокерском обслуживании</w:t>
            </w:r>
            <w:r w:rsidRPr="0084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532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оказание услуг по исполнению поручений клиента на совершение </w:t>
            </w:r>
            <w:proofErr w:type="spellStart"/>
            <w:r w:rsidRPr="00842532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842532">
              <w:rPr>
                <w:rFonts w:ascii="Times New Roman" w:hAnsi="Times New Roman" w:cs="Times New Roman"/>
                <w:sz w:val="24"/>
                <w:szCs w:val="24"/>
              </w:rPr>
              <w:t xml:space="preserve"> – правовых сделок с ценными бумагами и (или) на заключение договоров, являющихся производными финансовыми инструментами (ПФИ)</w:t>
            </w:r>
            <w:r w:rsidR="00911EA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140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</w:t>
            </w:r>
            <w:r w:rsidR="00E32A5C">
              <w:rPr>
                <w:rFonts w:ascii="Times New Roman" w:hAnsi="Times New Roman" w:cs="Times New Roman"/>
                <w:sz w:val="24"/>
                <w:szCs w:val="24"/>
              </w:rPr>
              <w:t>условиями</w:t>
            </w:r>
            <w:r w:rsidR="003A140C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  <w:r w:rsidR="00E32A5C">
              <w:rPr>
                <w:rFonts w:ascii="Times New Roman" w:hAnsi="Times New Roman" w:cs="Times New Roman"/>
                <w:sz w:val="24"/>
                <w:szCs w:val="24"/>
              </w:rPr>
              <w:t xml:space="preserve"> Вы можете на сайте ___________</w:t>
            </w:r>
          </w:p>
          <w:p w:rsidR="00814A5A" w:rsidRPr="00814A5A" w:rsidRDefault="00814A5A" w:rsidP="0098429A">
            <w:pPr>
              <w:contextualSpacing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3C4E64" w:rsidTr="00200E5B">
        <w:tc>
          <w:tcPr>
            <w:tcW w:w="456" w:type="dxa"/>
          </w:tcPr>
          <w:p w:rsidR="003C4E64" w:rsidRPr="00883C82" w:rsidRDefault="00883C82" w:rsidP="004F28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34" w:type="dxa"/>
          </w:tcPr>
          <w:p w:rsidR="003C4E64" w:rsidRPr="005A2499" w:rsidRDefault="00883C82" w:rsidP="00BF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договора </w:t>
            </w:r>
          </w:p>
        </w:tc>
        <w:tc>
          <w:tcPr>
            <w:tcW w:w="7575" w:type="dxa"/>
          </w:tcPr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Брокер может в одностороннем порядке вносить изменения в</w:t>
            </w:r>
            <w:r w:rsidRPr="00F00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 о брокерском обслуживании, в том числе в тарифы. Такие изменения публикуются на сайте: ________________</w:t>
            </w:r>
            <w:r w:rsidR="0059712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E64" w:rsidRPr="00842532" w:rsidRDefault="003C4E64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82" w:rsidTr="00200E5B">
        <w:tc>
          <w:tcPr>
            <w:tcW w:w="456" w:type="dxa"/>
          </w:tcPr>
          <w:p w:rsidR="00883C82" w:rsidRPr="00420A63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>Способ заключения договора</w:t>
            </w:r>
          </w:p>
        </w:tc>
        <w:tc>
          <w:tcPr>
            <w:tcW w:w="7575" w:type="dxa"/>
          </w:tcPr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532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брокерском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обслуживании</w:t>
            </w:r>
            <w:r w:rsidRPr="0084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заключается путем: ______________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B73E2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883C82" w:rsidRPr="0084253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82" w:rsidTr="00200E5B">
        <w:tc>
          <w:tcPr>
            <w:tcW w:w="456" w:type="dxa"/>
          </w:tcPr>
          <w:p w:rsidR="00883C82" w:rsidRPr="00E731D9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>Тарифы</w:t>
            </w:r>
          </w:p>
        </w:tc>
        <w:tc>
          <w:tcPr>
            <w:tcW w:w="7575" w:type="dxa"/>
          </w:tcPr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532">
              <w:rPr>
                <w:rFonts w:ascii="Times New Roman" w:hAnsi="Times New Roman" w:cs="Times New Roman"/>
                <w:sz w:val="24"/>
                <w:szCs w:val="24"/>
              </w:rPr>
              <w:t xml:space="preserve">За 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 w:rsidRPr="00842532">
              <w:rPr>
                <w:rFonts w:ascii="Times New Roman" w:hAnsi="Times New Roman" w:cs="Times New Roman"/>
                <w:sz w:val="24"/>
                <w:szCs w:val="24"/>
              </w:rPr>
              <w:t xml:space="preserve">взимается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2532">
              <w:rPr>
                <w:rFonts w:ascii="Times New Roman" w:hAnsi="Times New Roman" w:cs="Times New Roman"/>
                <w:sz w:val="24"/>
                <w:szCs w:val="24"/>
              </w:rPr>
              <w:t xml:space="preserve">лата. </w:t>
            </w:r>
            <w:r w:rsidR="00E333C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:rsidR="00883C82" w:rsidRPr="00814A5A" w:rsidRDefault="00883C82" w:rsidP="0098429A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C82" w:rsidTr="00200E5B">
        <w:tc>
          <w:tcPr>
            <w:tcW w:w="456" w:type="dxa"/>
          </w:tcPr>
          <w:p w:rsidR="00883C82" w:rsidRPr="00200E5B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>Финансовые инструменты</w:t>
            </w:r>
          </w:p>
          <w:p w:rsidR="00883C82" w:rsidRPr="005A2499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5" w:type="dxa"/>
          </w:tcPr>
          <w:p w:rsidR="00883C82" w:rsidRPr="008B634A" w:rsidRDefault="00883C82" w:rsidP="0098429A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50511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о брокерском обслуживании Вам доступны операции со следующими финансовыми инструментами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A87799">
              <w:rPr>
                <w:rStyle w:val="a5"/>
                <w:rFonts w:ascii="Times New Roman" w:hAnsi="Times New Roman" w:cs="Times New Roman"/>
                <w:sz w:val="24"/>
                <w:szCs w:val="18"/>
              </w:rPr>
              <w:footnoteReference w:id="6"/>
            </w:r>
          </w:p>
          <w:p w:rsidR="00883C82" w:rsidRDefault="00883C82" w:rsidP="009842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C82" w:rsidRPr="00BF2B40" w:rsidRDefault="00883C82" w:rsidP="009842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82" w:rsidTr="00200E5B">
        <w:tc>
          <w:tcPr>
            <w:tcW w:w="456" w:type="dxa"/>
          </w:tcPr>
          <w:p w:rsidR="00883C82" w:rsidRPr="00200E5B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7575" w:type="dxa"/>
          </w:tcPr>
          <w:p w:rsidR="00883C82" w:rsidRDefault="00883C82" w:rsidP="009842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следующих видов сделок (договоров) поручения неквалифицированных инвесторов – физических лиц исполняются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брокером только при положительном результате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тестирования:_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  <w:p w:rsidR="00883C82" w:rsidRDefault="00883C82" w:rsidP="009842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Обращаем Ваше внимание, что</w:t>
            </w:r>
            <w:r w:rsidR="00FF484E">
              <w:rPr>
                <w:rFonts w:ascii="Times New Roman" w:hAnsi="Times New Roman" w:cs="Times New Roman"/>
                <w:sz w:val="24"/>
                <w:szCs w:val="24"/>
              </w:rPr>
              <w:t xml:space="preserve"> такие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сделки являются более рискованными, чем сделки с инструментами, доступными для неквалифицированных инвесторов, по которым не требуется прохождение тестирования. </w:t>
            </w:r>
          </w:p>
        </w:tc>
      </w:tr>
      <w:tr w:rsidR="00883C82" w:rsidTr="00200E5B">
        <w:tc>
          <w:tcPr>
            <w:tcW w:w="456" w:type="dxa"/>
          </w:tcPr>
          <w:p w:rsidR="00883C82" w:rsidRPr="00E731D9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7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 xml:space="preserve">Сделки (договоры), совершение которых требует наличие статуса квалифицированного инвестора  </w:t>
            </w:r>
          </w:p>
        </w:tc>
        <w:tc>
          <w:tcPr>
            <w:tcW w:w="7575" w:type="dxa"/>
          </w:tcPr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следующих видов сделок (договоров) поручения исполняются брокером только при наличии у инвестора статуса квалифицированного инвестора:</w:t>
            </w:r>
            <w:r w:rsidRPr="00C11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  <w:p w:rsidR="00883C82" w:rsidRPr="00BF2B40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Обращаем Ваше внимание, что сделки с инструментами, предназначенными для квалифицированных инвесторов, являются более рискованными, чем сделки с инструментами, предназначенными для неквалифицированных инвесторов.</w:t>
            </w:r>
          </w:p>
        </w:tc>
      </w:tr>
      <w:tr w:rsidR="00883C82" w:rsidTr="00200E5B">
        <w:tc>
          <w:tcPr>
            <w:tcW w:w="456" w:type="dxa"/>
          </w:tcPr>
          <w:p w:rsidR="00883C82" w:rsidRPr="00270916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>Возможность совершения маржинальных</w:t>
            </w:r>
            <w:r w:rsidR="0053129F">
              <w:rPr>
                <w:rFonts w:ascii="Times New Roman" w:hAnsi="Times New Roman" w:cs="Times New Roman"/>
                <w:sz w:val="20"/>
                <w:szCs w:val="20"/>
              </w:rPr>
              <w:t xml:space="preserve"> сделок</w:t>
            </w: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 xml:space="preserve"> и сделок, приводящих к непокрытой позиции </w:t>
            </w:r>
          </w:p>
        </w:tc>
        <w:tc>
          <w:tcPr>
            <w:tcW w:w="7575" w:type="dxa"/>
          </w:tcPr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совершения маржинальных сделок и сделок, приводящих к возникновению непокрытой позиции, Вам могут быть предоставлены в заем денежные средства и (или) ценные бумаги за дополнительную плату.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Ознакомьтесь с декларацией о рисках, связанных с совершением маржинальных сделок и сделок, приводящих к возникновению непокрытой позиции, которую брокер должен предоставить Вам до заключения договора о брокерском обслуживании.</w:t>
            </w:r>
            <w:r w:rsidRPr="001B5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82" w:rsidTr="00200E5B">
        <w:tc>
          <w:tcPr>
            <w:tcW w:w="456" w:type="dxa"/>
          </w:tcPr>
          <w:p w:rsidR="00883C82" w:rsidRPr="00E731D9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использования брокером принадлежащих Вам ценных бумаг </w:t>
            </w:r>
          </w:p>
        </w:tc>
        <w:tc>
          <w:tcPr>
            <w:tcW w:w="7575" w:type="dxa"/>
          </w:tcPr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0916">
              <w:rPr>
                <w:rFonts w:ascii="Times New Roman" w:hAnsi="Times New Roman" w:cs="Times New Roman"/>
                <w:sz w:val="24"/>
                <w:szCs w:val="24"/>
              </w:rPr>
              <w:t>Использование брокером принадлежащих клиенту ценных бумаг влечет дополнительные риски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0"/>
            </w:r>
            <w:r w:rsidRPr="002709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Ознакомьтесь с</w:t>
            </w:r>
            <w:r w:rsidRPr="00270916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0916">
              <w:rPr>
                <w:rFonts w:ascii="Times New Roman" w:hAnsi="Times New Roman" w:cs="Times New Roman"/>
                <w:sz w:val="24"/>
                <w:szCs w:val="24"/>
              </w:rPr>
              <w:t xml:space="preserve"> о рисках использования брокером в своих интересах денежных средств и (или) ценных бумаг клиента</w:t>
            </w:r>
            <w:r w:rsidR="00FF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которое брокер должен предоставить Вам до заключения договора о брокерском обслуживании.</w:t>
            </w:r>
          </w:p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можете запретить брокеру использовать принадлежащие Вам ценные бумаги. В этом случае </w:t>
            </w:r>
            <w:r w:rsidR="00FF484E">
              <w:rPr>
                <w:rFonts w:ascii="Times New Roman" w:hAnsi="Times New Roman" w:cs="Times New Roman"/>
                <w:sz w:val="24"/>
                <w:szCs w:val="24"/>
              </w:rPr>
              <w:t xml:space="preserve">Ваши ценные бумаги будут учитываться отдельно от ценных бумаг других клиентов.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этом, </w:t>
            </w:r>
            <w:r w:rsidR="00BC5B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не будут предоставляться услуги по совершению следующих видов сделок (договоров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будет взиматься </w:t>
            </w:r>
            <w:r w:rsidR="002A337F">
              <w:rPr>
                <w:rFonts w:ascii="Times New Roman" w:hAnsi="Times New Roman" w:cs="Times New Roman"/>
                <w:sz w:val="24"/>
                <w:szCs w:val="24"/>
              </w:rPr>
              <w:t>иная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плата: ____________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3C82" w:rsidRPr="00CC4156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82" w:rsidTr="00200E5B">
        <w:tc>
          <w:tcPr>
            <w:tcW w:w="456" w:type="dxa"/>
          </w:tcPr>
          <w:p w:rsidR="00883C82" w:rsidRPr="00E731D9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10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использования брокером принадлежащих Вам денежных средств </w:t>
            </w:r>
            <w:r w:rsidRPr="005A249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13"/>
            </w:r>
          </w:p>
        </w:tc>
        <w:tc>
          <w:tcPr>
            <w:tcW w:w="7575" w:type="dxa"/>
          </w:tcPr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0E5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брокером принадлежащих клиенту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  <w:r w:rsidRPr="001B0E51">
              <w:rPr>
                <w:rFonts w:ascii="Times New Roman" w:hAnsi="Times New Roman" w:cs="Times New Roman"/>
                <w:sz w:val="24"/>
                <w:szCs w:val="24"/>
              </w:rPr>
              <w:t xml:space="preserve"> влечет дополнительные риски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4"/>
            </w:r>
            <w:r w:rsidRPr="001B0E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Ознакомьтесь с </w:t>
            </w:r>
            <w:r w:rsidRPr="001B0E51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0E51">
              <w:rPr>
                <w:rFonts w:ascii="Times New Roman" w:hAnsi="Times New Roman" w:cs="Times New Roman"/>
                <w:sz w:val="24"/>
                <w:szCs w:val="24"/>
              </w:rPr>
              <w:t xml:space="preserve"> о рисках использования брокером в своих интересах денежных средств и (или) ценных бумаг клиента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которое брокер должен предоставить Вам до заключения договора о брокерском обслуживании.</w:t>
            </w:r>
            <w:r w:rsidR="00CC0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0379" w:rsidRDefault="00CC0379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можете запретить брокеру использовать принадлежащие Вам денежные средства. В этом случае брокер должен обеспечить обособленный учет Ваших денежных средств. При этом, </w:t>
            </w:r>
            <w:r w:rsidR="00BC5B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не будут предоставляться услуги по совершению следующих видов сделок (договоров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E55D9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customMarkFollows="1" w:id="15"/>
              <w:t>11</w:t>
            </w:r>
          </w:p>
          <w:p w:rsidR="00CC0379" w:rsidRDefault="00CC0379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будет взиматься иная плата: ____________</w:t>
            </w:r>
            <w:r w:rsidR="00E55D9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customMarkFollows="1" w:id="16"/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3C82" w:rsidRPr="00420A63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82" w:rsidTr="00200E5B">
        <w:tc>
          <w:tcPr>
            <w:tcW w:w="456" w:type="dxa"/>
          </w:tcPr>
          <w:p w:rsidR="00883C82" w:rsidRPr="00626C27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626C27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1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 xml:space="preserve">Способы подачи, сроки приема и исполнения поручений </w:t>
            </w:r>
          </w:p>
        </w:tc>
        <w:tc>
          <w:tcPr>
            <w:tcW w:w="7575" w:type="dxa"/>
          </w:tcPr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4856">
              <w:rPr>
                <w:rFonts w:ascii="Times New Roman" w:hAnsi="Times New Roman" w:cs="Times New Roman"/>
                <w:sz w:val="24"/>
                <w:szCs w:val="24"/>
              </w:rPr>
              <w:t>Договором установлены следующие</w:t>
            </w:r>
            <w:r w:rsidR="00BC5BC1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подачи,</w:t>
            </w:r>
            <w:r w:rsidRPr="00E54856">
              <w:rPr>
                <w:rFonts w:ascii="Times New Roman" w:hAnsi="Times New Roman" w:cs="Times New Roman"/>
                <w:sz w:val="24"/>
                <w:szCs w:val="24"/>
              </w:rPr>
              <w:t xml:space="preserve"> сроки приема и исполнения поручений: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E5485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7"/>
            </w:r>
            <w:r w:rsidRPr="00E5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C82" w:rsidRPr="00E54856" w:rsidRDefault="00883C82" w:rsidP="0098429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3C82" w:rsidTr="00200E5B">
        <w:tc>
          <w:tcPr>
            <w:tcW w:w="456" w:type="dxa"/>
          </w:tcPr>
          <w:p w:rsidR="00883C82" w:rsidRPr="00626C27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731D9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626C27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2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>Способ и сроки получения клиентом отчет</w:t>
            </w:r>
            <w:r w:rsidR="00CC0379" w:rsidRPr="005A2499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>брокера</w:t>
            </w:r>
          </w:p>
        </w:tc>
        <w:tc>
          <w:tcPr>
            <w:tcW w:w="7575" w:type="dxa"/>
          </w:tcPr>
          <w:p w:rsidR="00883C82" w:rsidRPr="00E54856" w:rsidRDefault="00883C82" w:rsidP="0098429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856">
              <w:rPr>
                <w:rFonts w:ascii="Times New Roman" w:hAnsi="Times New Roman" w:cs="Times New Roman"/>
                <w:sz w:val="24"/>
                <w:szCs w:val="24"/>
              </w:rPr>
              <w:t>Договором установлены следующие сроки и способ получения клиентом отчет</w:t>
            </w:r>
            <w:r w:rsidR="00CC037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54856">
              <w:rPr>
                <w:rFonts w:ascii="Times New Roman" w:hAnsi="Times New Roman" w:cs="Times New Roman"/>
                <w:sz w:val="24"/>
                <w:szCs w:val="24"/>
              </w:rPr>
              <w:t xml:space="preserve">брокера: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E5485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8"/>
            </w:r>
          </w:p>
        </w:tc>
      </w:tr>
      <w:tr w:rsidR="00883C82" w:rsidTr="00200E5B">
        <w:tc>
          <w:tcPr>
            <w:tcW w:w="456" w:type="dxa"/>
          </w:tcPr>
          <w:p w:rsidR="00883C82" w:rsidRPr="00626C27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731D9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626C27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>Ограничение ответственности брокера</w:t>
            </w:r>
          </w:p>
        </w:tc>
        <w:tc>
          <w:tcPr>
            <w:tcW w:w="7575" w:type="dxa"/>
          </w:tcPr>
          <w:p w:rsidR="00883C82" w:rsidRPr="00E54856" w:rsidRDefault="00883C82" w:rsidP="0098429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85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договором, ответственность брокера ограничена в следующих </w:t>
            </w:r>
            <w:proofErr w:type="gramStart"/>
            <w:r w:rsidRPr="00E54856">
              <w:rPr>
                <w:rFonts w:ascii="Times New Roman" w:hAnsi="Times New Roman" w:cs="Times New Roman"/>
                <w:sz w:val="24"/>
                <w:szCs w:val="24"/>
              </w:rPr>
              <w:t>случаях: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E5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85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9"/>
            </w:r>
          </w:p>
        </w:tc>
      </w:tr>
      <w:tr w:rsidR="00883C82" w:rsidTr="00200E5B">
        <w:tc>
          <w:tcPr>
            <w:tcW w:w="456" w:type="dxa"/>
          </w:tcPr>
          <w:p w:rsidR="00883C82" w:rsidRPr="00626C27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731D9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626C27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4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брокером функций налогового агента </w:t>
            </w:r>
          </w:p>
        </w:tc>
        <w:tc>
          <w:tcPr>
            <w:tcW w:w="7575" w:type="dxa"/>
          </w:tcPr>
          <w:p w:rsidR="00883C82" w:rsidRPr="00E54856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4856">
              <w:rPr>
                <w:rFonts w:ascii="Times New Roman" w:hAnsi="Times New Roman" w:cs="Times New Roman"/>
                <w:sz w:val="24"/>
                <w:szCs w:val="24"/>
              </w:rPr>
              <w:t xml:space="preserve">Брокер осуществляет функцию налогового агента в следующих случаях: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E5485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  <w:p w:rsidR="00883C82" w:rsidRPr="00E54856" w:rsidRDefault="00883C82" w:rsidP="0098429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3C82" w:rsidTr="00200E5B">
        <w:tc>
          <w:tcPr>
            <w:tcW w:w="456" w:type="dxa"/>
          </w:tcPr>
          <w:p w:rsidR="00883C82" w:rsidRPr="00626C27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731D9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626C27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5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 xml:space="preserve">О способах и адресах направления обращений (жалоб) </w:t>
            </w:r>
          </w:p>
        </w:tc>
        <w:tc>
          <w:tcPr>
            <w:tcW w:w="7575" w:type="dxa"/>
          </w:tcPr>
          <w:p w:rsidR="00883C82" w:rsidRPr="001B0E51" w:rsidRDefault="00883C82" w:rsidP="0098429A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4856">
              <w:rPr>
                <w:rFonts w:ascii="Times New Roman" w:hAnsi="Times New Roman" w:cs="Times New Roman"/>
                <w:sz w:val="24"/>
                <w:szCs w:val="18"/>
              </w:rPr>
              <w:t xml:space="preserve">Вы можете направить обращение (жалобу):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_______________</w:t>
            </w:r>
            <w:r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21"/>
            </w:r>
          </w:p>
          <w:p w:rsidR="00883C82" w:rsidRDefault="00883C82" w:rsidP="00984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Вы можете направить жалобу (обращение) о возможном нарушении брокером требований законодательства Российской Федерации о рынке ценных бумаг в Банк России, и о возможном нарушении базовых и внутренних стандартов саморегулируемой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в сфере финансового рынка, объединяющей брокеров – в НАУФОР.  </w:t>
            </w:r>
          </w:p>
          <w:p w:rsidR="00883C82" w:rsidRPr="00761D5F" w:rsidRDefault="00883C82" w:rsidP="0098429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C82" w:rsidTr="00200E5B">
        <w:tc>
          <w:tcPr>
            <w:tcW w:w="456" w:type="dxa"/>
          </w:tcPr>
          <w:p w:rsidR="00883C82" w:rsidRPr="00E731D9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731D9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 w:rsidRPr="00E731D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 xml:space="preserve">Порядок урегулирования споров </w:t>
            </w:r>
          </w:p>
        </w:tc>
        <w:tc>
          <w:tcPr>
            <w:tcW w:w="7575" w:type="dxa"/>
          </w:tcPr>
          <w:p w:rsidR="00883C82" w:rsidRPr="001B0E51" w:rsidRDefault="00883C82" w:rsidP="0098429A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05466">
              <w:rPr>
                <w:rFonts w:ascii="Times New Roman" w:hAnsi="Times New Roman" w:cs="Times New Roman"/>
                <w:sz w:val="24"/>
                <w:szCs w:val="18"/>
              </w:rPr>
              <w:t>В случае возникновения споров, применяется следующий порядок их разрешения:</w:t>
            </w:r>
            <w:r w:rsidR="00CC0379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_____________</w:t>
            </w:r>
            <w:r>
              <w:rPr>
                <w:rStyle w:val="a5"/>
                <w:rFonts w:ascii="Times New Roman" w:hAnsi="Times New Roman" w:cs="Times New Roman"/>
                <w:sz w:val="24"/>
                <w:szCs w:val="18"/>
              </w:rPr>
              <w:footnoteReference w:id="22"/>
            </w:r>
            <w:r w:rsidRPr="0070546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  <w:tr w:rsidR="00883C82" w:rsidTr="00200E5B">
        <w:tc>
          <w:tcPr>
            <w:tcW w:w="456" w:type="dxa"/>
          </w:tcPr>
          <w:p w:rsidR="00883C82" w:rsidRPr="00E731D9" w:rsidRDefault="00883C82" w:rsidP="00883C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731D9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034" w:type="dxa"/>
          </w:tcPr>
          <w:p w:rsidR="00883C82" w:rsidRPr="005A2499" w:rsidRDefault="00883C82" w:rsidP="00883C8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A2499">
              <w:rPr>
                <w:rFonts w:ascii="Times New Roman" w:hAnsi="Times New Roman" w:cs="Times New Roman"/>
                <w:sz w:val="20"/>
                <w:szCs w:val="20"/>
              </w:rPr>
              <w:t>Срок действия, порядок и сроки расторжения договора о брокерском обслуживании</w:t>
            </w:r>
          </w:p>
        </w:tc>
        <w:tc>
          <w:tcPr>
            <w:tcW w:w="7575" w:type="dxa"/>
          </w:tcPr>
          <w:p w:rsidR="00883C82" w:rsidRPr="000A4C0C" w:rsidRDefault="00883C82" w:rsidP="0098429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0AAA" w:rsidRPr="00842532" w:rsidRDefault="00AB0AAA" w:rsidP="000E22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0503" w:rsidRPr="00842532" w:rsidRDefault="00460503" w:rsidP="000035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60503" w:rsidRPr="00842532" w:rsidSect="00F422C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4A3" w:rsidRDefault="00DA74A3" w:rsidP="00337302">
      <w:pPr>
        <w:spacing w:after="0" w:line="240" w:lineRule="auto"/>
      </w:pPr>
      <w:r>
        <w:separator/>
      </w:r>
    </w:p>
  </w:endnote>
  <w:endnote w:type="continuationSeparator" w:id="0">
    <w:p w:rsidR="00DA74A3" w:rsidRDefault="00DA74A3" w:rsidP="0033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4A3" w:rsidRDefault="00DA74A3" w:rsidP="00337302">
      <w:pPr>
        <w:spacing w:after="0" w:line="240" w:lineRule="auto"/>
      </w:pPr>
      <w:r>
        <w:separator/>
      </w:r>
    </w:p>
  </w:footnote>
  <w:footnote w:type="continuationSeparator" w:id="0">
    <w:p w:rsidR="00DA74A3" w:rsidRDefault="00DA74A3" w:rsidP="00337302">
      <w:pPr>
        <w:spacing w:after="0" w:line="240" w:lineRule="auto"/>
      </w:pPr>
      <w:r>
        <w:continuationSeparator/>
      </w:r>
    </w:p>
  </w:footnote>
  <w:footnote w:id="1">
    <w:p w:rsidR="00E333C5" w:rsidRPr="00E333C5" w:rsidRDefault="00E32A5C" w:rsidP="00E333C5">
      <w:pPr>
        <w:pStyle w:val="a3"/>
        <w:ind w:left="-709"/>
      </w:pPr>
      <w:r>
        <w:rPr>
          <w:rStyle w:val="a5"/>
        </w:rPr>
        <w:footnoteRef/>
      </w:r>
      <w:r>
        <w:t xml:space="preserve"> </w:t>
      </w:r>
      <w:r w:rsidRPr="00EA3FBA">
        <w:rPr>
          <w:rFonts w:ascii="Times New Roman" w:hAnsi="Times New Roman" w:cs="Times New Roman"/>
          <w:i/>
          <w:sz w:val="18"/>
          <w:szCs w:val="18"/>
        </w:rPr>
        <w:t xml:space="preserve">объем документа не должен превышать трех страниц. </w:t>
      </w:r>
    </w:p>
    <w:p w:rsidR="00E333C5" w:rsidRPr="00CB1FA7" w:rsidRDefault="00E333C5" w:rsidP="00105E21">
      <w:pPr>
        <w:pStyle w:val="a3"/>
        <w:ind w:left="-709"/>
        <w:rPr>
          <w:rFonts w:ascii="Times New Roman" w:hAnsi="Times New Roman" w:cs="Times New Roman"/>
          <w:i/>
          <w:sz w:val="2"/>
          <w:szCs w:val="2"/>
        </w:rPr>
      </w:pPr>
    </w:p>
  </w:footnote>
  <w:footnote w:id="2">
    <w:p w:rsidR="00911EA4" w:rsidRPr="00911EA4" w:rsidRDefault="00911EA4" w:rsidP="00911EA4">
      <w:pPr>
        <w:pStyle w:val="a3"/>
        <w:ind w:left="-709"/>
        <w:rPr>
          <w:i/>
          <w:sz w:val="18"/>
        </w:rPr>
      </w:pPr>
      <w:r>
        <w:rPr>
          <w:rStyle w:val="a5"/>
        </w:rPr>
        <w:footnoteRef/>
      </w:r>
      <w:r>
        <w:t xml:space="preserve"> </w:t>
      </w:r>
      <w:r w:rsidRPr="00814456">
        <w:rPr>
          <w:rFonts w:ascii="Times New Roman" w:hAnsi="Times New Roman" w:cs="Times New Roman"/>
          <w:i/>
          <w:sz w:val="18"/>
          <w:szCs w:val="18"/>
        </w:rPr>
        <w:t>также могут</w:t>
      </w:r>
      <w:r>
        <w:rPr>
          <w:rFonts w:ascii="Times New Roman" w:hAnsi="Times New Roman" w:cs="Times New Roman"/>
          <w:i/>
          <w:sz w:val="18"/>
        </w:rPr>
        <w:t xml:space="preserve"> быть указаны иные активы, в отношении которых оказываются услуги, например, иностранная валюта, </w:t>
      </w:r>
      <w:r w:rsidR="008A1A1D">
        <w:rPr>
          <w:rFonts w:ascii="Times New Roman" w:hAnsi="Times New Roman" w:cs="Times New Roman"/>
          <w:i/>
          <w:sz w:val="18"/>
        </w:rPr>
        <w:t xml:space="preserve">драгоценные </w:t>
      </w:r>
      <w:r>
        <w:rPr>
          <w:rFonts w:ascii="Times New Roman" w:hAnsi="Times New Roman" w:cs="Times New Roman"/>
          <w:i/>
          <w:sz w:val="18"/>
        </w:rPr>
        <w:t xml:space="preserve">металлы и т.д. </w:t>
      </w:r>
    </w:p>
  </w:footnote>
  <w:footnote w:id="3">
    <w:p w:rsidR="00597127" w:rsidRDefault="00597127" w:rsidP="00B205C6">
      <w:pPr>
        <w:pStyle w:val="a3"/>
        <w:ind w:left="-709"/>
      </w:pPr>
      <w:r>
        <w:rPr>
          <w:rStyle w:val="a5"/>
        </w:rPr>
        <w:footnoteRef/>
      </w:r>
      <w:r>
        <w:t xml:space="preserve">  </w:t>
      </w:r>
      <w:r w:rsidRPr="00B73E22">
        <w:rPr>
          <w:rFonts w:ascii="Times New Roman" w:hAnsi="Times New Roman" w:cs="Times New Roman"/>
          <w:i/>
          <w:sz w:val="18"/>
          <w:szCs w:val="18"/>
        </w:rPr>
        <w:t xml:space="preserve">указывается </w:t>
      </w:r>
      <w:r>
        <w:rPr>
          <w:rFonts w:ascii="Times New Roman" w:hAnsi="Times New Roman" w:cs="Times New Roman"/>
          <w:i/>
          <w:sz w:val="18"/>
          <w:szCs w:val="18"/>
        </w:rPr>
        <w:t xml:space="preserve">соответствующий </w:t>
      </w:r>
      <w:r w:rsidRPr="00B73E22">
        <w:rPr>
          <w:rFonts w:ascii="Times New Roman" w:hAnsi="Times New Roman" w:cs="Times New Roman"/>
          <w:i/>
          <w:sz w:val="18"/>
          <w:szCs w:val="18"/>
        </w:rPr>
        <w:t xml:space="preserve">раздел сайта брокера в сети </w:t>
      </w:r>
      <w:r>
        <w:rPr>
          <w:rFonts w:ascii="Times New Roman" w:hAnsi="Times New Roman" w:cs="Times New Roman"/>
          <w:i/>
          <w:sz w:val="18"/>
          <w:szCs w:val="18"/>
        </w:rPr>
        <w:t>И</w:t>
      </w:r>
      <w:r w:rsidRPr="00B73E22">
        <w:rPr>
          <w:rFonts w:ascii="Times New Roman" w:hAnsi="Times New Roman" w:cs="Times New Roman"/>
          <w:i/>
          <w:sz w:val="18"/>
          <w:szCs w:val="18"/>
        </w:rPr>
        <w:t>нтернет с подлежащей раскрытию профессиональным участником рынка ценных бумаг информаци</w:t>
      </w:r>
      <w:r w:rsidR="0053129F">
        <w:rPr>
          <w:rFonts w:ascii="Times New Roman" w:hAnsi="Times New Roman" w:cs="Times New Roman"/>
          <w:i/>
          <w:sz w:val="18"/>
          <w:szCs w:val="18"/>
        </w:rPr>
        <w:t>ей</w:t>
      </w:r>
      <w:r w:rsidRPr="00B73E22">
        <w:rPr>
          <w:rFonts w:ascii="Times New Roman" w:hAnsi="Times New Roman" w:cs="Times New Roman"/>
          <w:i/>
          <w:sz w:val="18"/>
          <w:szCs w:val="18"/>
        </w:rPr>
        <w:t xml:space="preserve">. </w:t>
      </w:r>
      <w:r>
        <w:rPr>
          <w:rFonts w:ascii="Times New Roman" w:hAnsi="Times New Roman" w:cs="Times New Roman"/>
          <w:i/>
          <w:sz w:val="18"/>
          <w:szCs w:val="18"/>
        </w:rPr>
        <w:t>В</w:t>
      </w:r>
      <w:r w:rsidRPr="00C36D74">
        <w:rPr>
          <w:rFonts w:ascii="Times New Roman" w:hAnsi="Times New Roman" w:cs="Times New Roman"/>
          <w:i/>
          <w:sz w:val="18"/>
          <w:szCs w:val="18"/>
        </w:rPr>
        <w:t xml:space="preserve"> случае предоставления документ</w:t>
      </w:r>
      <w:r>
        <w:rPr>
          <w:rFonts w:ascii="Times New Roman" w:hAnsi="Times New Roman" w:cs="Times New Roman"/>
          <w:i/>
          <w:sz w:val="18"/>
          <w:szCs w:val="18"/>
        </w:rPr>
        <w:t>а</w:t>
      </w:r>
      <w:r w:rsidRPr="00C36D74">
        <w:rPr>
          <w:rFonts w:ascii="Times New Roman" w:hAnsi="Times New Roman" w:cs="Times New Roman"/>
          <w:i/>
          <w:sz w:val="18"/>
          <w:szCs w:val="18"/>
        </w:rPr>
        <w:t xml:space="preserve"> в электронной форме возможна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ссылка  </w:t>
      </w:r>
      <w:r w:rsidRPr="00E333C5">
        <w:rPr>
          <w:rFonts w:ascii="Times New Roman" w:hAnsi="Times New Roman" w:cs="Times New Roman"/>
          <w:i/>
          <w:sz w:val="18"/>
          <w:szCs w:val="18"/>
        </w:rPr>
        <w:t>на</w:t>
      </w:r>
      <w:proofErr w:type="gramEnd"/>
      <w:r w:rsidRPr="00E333C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соответствующие сведения на </w:t>
      </w:r>
      <w:r w:rsidRPr="00E333C5">
        <w:rPr>
          <w:rFonts w:ascii="Times New Roman" w:hAnsi="Times New Roman" w:cs="Times New Roman"/>
          <w:i/>
          <w:sz w:val="18"/>
          <w:szCs w:val="18"/>
        </w:rPr>
        <w:t>сайт</w:t>
      </w:r>
      <w:r>
        <w:rPr>
          <w:rFonts w:ascii="Times New Roman" w:hAnsi="Times New Roman" w:cs="Times New Roman"/>
          <w:i/>
          <w:sz w:val="18"/>
          <w:szCs w:val="18"/>
        </w:rPr>
        <w:t>е</w:t>
      </w:r>
      <w:r w:rsidRPr="00E333C5">
        <w:rPr>
          <w:rFonts w:ascii="Times New Roman" w:hAnsi="Times New Roman" w:cs="Times New Roman"/>
          <w:i/>
          <w:sz w:val="18"/>
          <w:szCs w:val="18"/>
        </w:rPr>
        <w:t xml:space="preserve"> брокера в сети Интернет</w:t>
      </w:r>
      <w:r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4">
    <w:p w:rsidR="00883C82" w:rsidRDefault="00883C82" w:rsidP="009046D7">
      <w:pPr>
        <w:pStyle w:val="a3"/>
        <w:tabs>
          <w:tab w:val="left" w:pos="0"/>
        </w:tabs>
        <w:ind w:left="-709"/>
      </w:pPr>
      <w:r>
        <w:rPr>
          <w:rStyle w:val="a5"/>
        </w:rPr>
        <w:footnoteRef/>
      </w:r>
      <w:r>
        <w:t xml:space="preserve"> </w:t>
      </w:r>
      <w:r w:rsidRPr="00B73E22">
        <w:rPr>
          <w:rFonts w:ascii="Times New Roman" w:hAnsi="Times New Roman" w:cs="Times New Roman"/>
          <w:i/>
          <w:sz w:val="18"/>
          <w:szCs w:val="18"/>
        </w:rPr>
        <w:t>указывается способ заключения договора о брокерском обслуживании – соглашение в простой письменной форме в порядке, предусмотренном п. 2 ст. 434 ГК РФ (например, подписание сторонами единого документа либо путем обмена документами (офертой и акцептом), заключение соглашения в порядке, предусмотренном п. 3 ст. 438 ГК РФ (заключение соглашения совершением действий по выполнению указанных в соглашении условий (конклюдентных действий) и т.д</w:t>
      </w:r>
      <w:r>
        <w:rPr>
          <w:rFonts w:ascii="Times New Roman" w:hAnsi="Times New Roman" w:cs="Times New Roman"/>
          <w:i/>
          <w:sz w:val="18"/>
          <w:szCs w:val="18"/>
        </w:rPr>
        <w:t>..</w:t>
      </w:r>
    </w:p>
  </w:footnote>
  <w:footnote w:id="5">
    <w:p w:rsidR="00E333C5" w:rsidRDefault="00E333C5" w:rsidP="00E333C5">
      <w:pPr>
        <w:pStyle w:val="a3"/>
        <w:ind w:left="-709"/>
      </w:pPr>
      <w:r>
        <w:rPr>
          <w:rStyle w:val="a5"/>
        </w:rPr>
        <w:footnoteRef/>
      </w:r>
      <w:r>
        <w:t xml:space="preserve"> </w:t>
      </w:r>
      <w:r w:rsidR="0094406C">
        <w:rPr>
          <w:rFonts w:ascii="Times New Roman" w:hAnsi="Times New Roman" w:cs="Times New Roman"/>
          <w:i/>
          <w:sz w:val="18"/>
          <w:szCs w:val="18"/>
        </w:rPr>
        <w:t>у</w:t>
      </w:r>
      <w:r w:rsidR="001375B9">
        <w:rPr>
          <w:rFonts w:ascii="Times New Roman" w:hAnsi="Times New Roman" w:cs="Times New Roman"/>
          <w:i/>
          <w:sz w:val="18"/>
          <w:szCs w:val="18"/>
        </w:rPr>
        <w:t>казываются соответствующие сведения. В</w:t>
      </w:r>
      <w:r w:rsidRPr="00E333C5">
        <w:rPr>
          <w:rFonts w:ascii="Times New Roman" w:hAnsi="Times New Roman" w:cs="Times New Roman"/>
          <w:i/>
          <w:sz w:val="18"/>
          <w:szCs w:val="18"/>
        </w:rPr>
        <w:t xml:space="preserve"> случае, когда предоставление информации в соответствующем разделе является непрактичным в силу ее объема, указываются реквизиты документа, содержащего соответствующие сведения либо ссылка на</w:t>
      </w:r>
      <w:r w:rsidR="00D60DAB">
        <w:rPr>
          <w:rFonts w:ascii="Times New Roman" w:hAnsi="Times New Roman" w:cs="Times New Roman"/>
          <w:i/>
          <w:sz w:val="18"/>
          <w:szCs w:val="18"/>
        </w:rPr>
        <w:t xml:space="preserve"> соответствующие сведения на </w:t>
      </w:r>
      <w:r w:rsidRPr="00E333C5">
        <w:rPr>
          <w:rFonts w:ascii="Times New Roman" w:hAnsi="Times New Roman" w:cs="Times New Roman"/>
          <w:i/>
          <w:sz w:val="18"/>
          <w:szCs w:val="18"/>
        </w:rPr>
        <w:t>сайт</w:t>
      </w:r>
      <w:r w:rsidR="00D60DAB">
        <w:rPr>
          <w:rFonts w:ascii="Times New Roman" w:hAnsi="Times New Roman" w:cs="Times New Roman"/>
          <w:i/>
          <w:sz w:val="18"/>
          <w:szCs w:val="18"/>
        </w:rPr>
        <w:t>е</w:t>
      </w:r>
      <w:r w:rsidRPr="00E333C5">
        <w:rPr>
          <w:rFonts w:ascii="Times New Roman" w:hAnsi="Times New Roman" w:cs="Times New Roman"/>
          <w:i/>
          <w:sz w:val="18"/>
          <w:szCs w:val="18"/>
        </w:rPr>
        <w:t xml:space="preserve"> брокера в сети Интернет.</w:t>
      </w:r>
    </w:p>
  </w:footnote>
  <w:footnote w:id="6">
    <w:p w:rsidR="00883C82" w:rsidRDefault="00883C82" w:rsidP="009046D7">
      <w:pPr>
        <w:pStyle w:val="a3"/>
        <w:tabs>
          <w:tab w:val="left" w:pos="0"/>
        </w:tabs>
        <w:ind w:left="-709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у</w:t>
      </w:r>
      <w:r w:rsidRPr="008B634A">
        <w:rPr>
          <w:rFonts w:ascii="Times New Roman" w:hAnsi="Times New Roman" w:cs="Times New Roman"/>
          <w:i/>
          <w:sz w:val="18"/>
          <w:szCs w:val="18"/>
        </w:rPr>
        <w:t>казываютс</w:t>
      </w:r>
      <w:r>
        <w:rPr>
          <w:rFonts w:ascii="Times New Roman" w:hAnsi="Times New Roman" w:cs="Times New Roman"/>
          <w:i/>
          <w:sz w:val="18"/>
          <w:szCs w:val="18"/>
        </w:rPr>
        <w:t>я</w:t>
      </w:r>
      <w:r w:rsidRPr="008B634A">
        <w:rPr>
          <w:rFonts w:ascii="Times New Roman" w:hAnsi="Times New Roman" w:cs="Times New Roman"/>
          <w:i/>
          <w:sz w:val="18"/>
          <w:szCs w:val="18"/>
        </w:rPr>
        <w:t xml:space="preserve"> виды финансовых инструментов, операции (сделки, договоры), которые брокер вправе совершать (заключать) по поручению инвестора и за его счет на бирже (с указанием биржи), внебиржевом рынке. </w:t>
      </w:r>
      <w:r w:rsidR="00105E21">
        <w:rPr>
          <w:rFonts w:ascii="Times New Roman" w:hAnsi="Times New Roman" w:cs="Times New Roman"/>
          <w:i/>
          <w:sz w:val="18"/>
          <w:szCs w:val="18"/>
        </w:rPr>
        <w:t>В</w:t>
      </w:r>
      <w:r w:rsidR="00105E21" w:rsidRPr="00EA3FBA">
        <w:rPr>
          <w:rFonts w:ascii="Times New Roman" w:hAnsi="Times New Roman" w:cs="Times New Roman"/>
          <w:i/>
          <w:sz w:val="18"/>
          <w:szCs w:val="18"/>
        </w:rPr>
        <w:t xml:space="preserve"> случае, когда предоставление информации в соответствующем разделе является непрактичным в силу ее </w:t>
      </w:r>
      <w:r w:rsidR="00105E21">
        <w:rPr>
          <w:rFonts w:ascii="Times New Roman" w:hAnsi="Times New Roman" w:cs="Times New Roman"/>
          <w:i/>
          <w:sz w:val="18"/>
          <w:szCs w:val="18"/>
        </w:rPr>
        <w:t>объема, указываются реквизиты документа, содержащего соответствующие сведения либо ссылка на соответствующие сведения на сайте брокера в сети Интернет.</w:t>
      </w:r>
    </w:p>
  </w:footnote>
  <w:footnote w:id="7">
    <w:p w:rsidR="00883C82" w:rsidRPr="001F304C" w:rsidRDefault="00883C82" w:rsidP="00A90214">
      <w:pPr>
        <w:spacing w:line="240" w:lineRule="auto"/>
        <w:ind w:left="-709"/>
        <w:contextualSpacing/>
        <w:rPr>
          <w:sz w:val="18"/>
          <w:szCs w:val="18"/>
        </w:rPr>
      </w:pPr>
      <w:r>
        <w:rPr>
          <w:rStyle w:val="a5"/>
        </w:rPr>
        <w:footnoteRef/>
      </w:r>
      <w:r>
        <w:rPr>
          <w:rFonts w:ascii="Times New Roman" w:hAnsi="Times New Roman" w:cs="Times New Roman"/>
          <w:i/>
          <w:sz w:val="18"/>
          <w:szCs w:val="18"/>
        </w:rPr>
        <w:t>указываются виды сделок (договоров) в отношении которых брокером проводится тестирование.</w:t>
      </w:r>
      <w:r w:rsidR="00723BB6" w:rsidRPr="00723BB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23BB6">
        <w:rPr>
          <w:rFonts w:ascii="Times New Roman" w:hAnsi="Times New Roman" w:cs="Times New Roman"/>
          <w:i/>
          <w:sz w:val="18"/>
          <w:szCs w:val="18"/>
        </w:rPr>
        <w:t>В</w:t>
      </w:r>
      <w:r w:rsidR="00723BB6" w:rsidRPr="00EA3FBA">
        <w:rPr>
          <w:rFonts w:ascii="Times New Roman" w:hAnsi="Times New Roman" w:cs="Times New Roman"/>
          <w:i/>
          <w:sz w:val="18"/>
          <w:szCs w:val="18"/>
        </w:rPr>
        <w:t xml:space="preserve"> случае, когда предоставление информации в соответствующем разделе является непрактичным в силу ее </w:t>
      </w:r>
      <w:r w:rsidR="00723BB6">
        <w:rPr>
          <w:rFonts w:ascii="Times New Roman" w:hAnsi="Times New Roman" w:cs="Times New Roman"/>
          <w:i/>
          <w:sz w:val="18"/>
          <w:szCs w:val="18"/>
        </w:rPr>
        <w:t xml:space="preserve">объема, указываются реквизиты документа, содержащего соответствующие сведения либо ссылка на соответствующие сведения на сайте брокера в сети Интернет. </w:t>
      </w:r>
    </w:p>
  </w:footnote>
  <w:footnote w:id="8">
    <w:p w:rsidR="00883C82" w:rsidRPr="001F304C" w:rsidRDefault="00883C82" w:rsidP="00F70036">
      <w:pPr>
        <w:spacing w:after="0" w:line="240" w:lineRule="auto"/>
        <w:ind w:left="-709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1F304C">
        <w:rPr>
          <w:rStyle w:val="a5"/>
          <w:sz w:val="18"/>
          <w:szCs w:val="18"/>
        </w:rPr>
        <w:footnoteRef/>
      </w:r>
      <w:r w:rsidRPr="001F304C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указываются виды сделок (договоров) в отношении которых поручения исполняются брокером только при наличии у инвестора статуса квалифицированного инвестора. </w:t>
      </w:r>
      <w:r w:rsidR="00723BB6">
        <w:rPr>
          <w:rFonts w:ascii="Times New Roman" w:hAnsi="Times New Roman" w:cs="Times New Roman"/>
          <w:i/>
          <w:sz w:val="18"/>
          <w:szCs w:val="18"/>
        </w:rPr>
        <w:t>В</w:t>
      </w:r>
      <w:r w:rsidR="00723BB6" w:rsidRPr="00EA3FBA">
        <w:rPr>
          <w:rFonts w:ascii="Times New Roman" w:hAnsi="Times New Roman" w:cs="Times New Roman"/>
          <w:i/>
          <w:sz w:val="18"/>
          <w:szCs w:val="18"/>
        </w:rPr>
        <w:t xml:space="preserve"> случае, когда предоставление информации в соответствующем разделе является непрактичным в силу ее </w:t>
      </w:r>
      <w:r w:rsidR="00723BB6">
        <w:rPr>
          <w:rFonts w:ascii="Times New Roman" w:hAnsi="Times New Roman" w:cs="Times New Roman"/>
          <w:i/>
          <w:sz w:val="18"/>
          <w:szCs w:val="18"/>
        </w:rPr>
        <w:t>объема, указываются реквизиты документа, содержащего соответствующие сведения либо ссылка на соответствующие сведения на сайте брокера в сети Интернет.</w:t>
      </w:r>
    </w:p>
  </w:footnote>
  <w:footnote w:id="9">
    <w:p w:rsidR="00883C82" w:rsidRPr="001F304C" w:rsidRDefault="00883C82" w:rsidP="00F70036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1F304C">
        <w:rPr>
          <w:rStyle w:val="a5"/>
          <w:sz w:val="18"/>
          <w:szCs w:val="18"/>
        </w:rPr>
        <w:footnoteRef/>
      </w:r>
      <w:r w:rsidR="00231F9D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у</w:t>
      </w:r>
      <w:r w:rsidRPr="001F304C">
        <w:rPr>
          <w:rFonts w:ascii="Times New Roman" w:hAnsi="Times New Roman" w:cs="Times New Roman"/>
          <w:i/>
          <w:sz w:val="18"/>
          <w:szCs w:val="18"/>
        </w:rPr>
        <w:t>казывается в соответствующем случае</w:t>
      </w:r>
      <w:r>
        <w:rPr>
          <w:rFonts w:ascii="Times New Roman" w:hAnsi="Times New Roman" w:cs="Times New Roman"/>
          <w:i/>
          <w:sz w:val="18"/>
          <w:szCs w:val="18"/>
        </w:rPr>
        <w:t>, либо указывается</w:t>
      </w:r>
      <w:r w:rsidR="00BC5BC1">
        <w:rPr>
          <w:rFonts w:ascii="Times New Roman" w:hAnsi="Times New Roman" w:cs="Times New Roman"/>
          <w:i/>
          <w:sz w:val="18"/>
          <w:szCs w:val="18"/>
        </w:rPr>
        <w:t xml:space="preserve"> на </w:t>
      </w:r>
      <w:r>
        <w:rPr>
          <w:rFonts w:ascii="Times New Roman" w:hAnsi="Times New Roman" w:cs="Times New Roman"/>
          <w:i/>
          <w:sz w:val="18"/>
          <w:szCs w:val="18"/>
        </w:rPr>
        <w:t>невозможность совершения таких сделок.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 При </w:t>
      </w:r>
      <w:r>
        <w:rPr>
          <w:rFonts w:ascii="Times New Roman" w:hAnsi="Times New Roman" w:cs="Times New Roman"/>
          <w:i/>
          <w:sz w:val="18"/>
          <w:szCs w:val="18"/>
        </w:rPr>
        <w:t>не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возможности совершать маржинальные и непокрытые сделки </w:t>
      </w:r>
      <w:r>
        <w:rPr>
          <w:rFonts w:ascii="Times New Roman" w:hAnsi="Times New Roman" w:cs="Times New Roman"/>
          <w:i/>
          <w:sz w:val="18"/>
          <w:szCs w:val="18"/>
        </w:rPr>
        <w:t>иные сведения раздела не указываются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. </w:t>
      </w:r>
    </w:p>
  </w:footnote>
  <w:footnote w:id="10">
    <w:p w:rsidR="00883C82" w:rsidRPr="001F304C" w:rsidRDefault="00883C82" w:rsidP="00F70036">
      <w:pPr>
        <w:spacing w:after="0" w:line="240" w:lineRule="auto"/>
        <w:ind w:left="-709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1F304C">
        <w:rPr>
          <w:rStyle w:val="a5"/>
          <w:sz w:val="18"/>
          <w:szCs w:val="18"/>
        </w:rPr>
        <w:footnoteRef/>
      </w:r>
      <w:r w:rsidRPr="001F304C">
        <w:rPr>
          <w:sz w:val="18"/>
          <w:szCs w:val="18"/>
        </w:rPr>
        <w:t xml:space="preserve"> </w:t>
      </w:r>
      <w:r w:rsidRPr="00F70036">
        <w:rPr>
          <w:rFonts w:ascii="Times New Roman" w:hAnsi="Times New Roman" w:cs="Times New Roman"/>
          <w:sz w:val="18"/>
          <w:szCs w:val="18"/>
        </w:rPr>
        <w:t>у</w:t>
      </w:r>
      <w:r w:rsidRPr="001F304C">
        <w:rPr>
          <w:rFonts w:ascii="Times New Roman" w:hAnsi="Times New Roman" w:cs="Times New Roman"/>
          <w:i/>
          <w:sz w:val="18"/>
          <w:szCs w:val="18"/>
        </w:rPr>
        <w:t>казывается в соответствующем случае</w:t>
      </w:r>
      <w:r>
        <w:rPr>
          <w:rFonts w:ascii="Times New Roman" w:hAnsi="Times New Roman" w:cs="Times New Roman"/>
          <w:i/>
          <w:sz w:val="18"/>
          <w:szCs w:val="18"/>
        </w:rPr>
        <w:t>, либо указывается</w:t>
      </w:r>
      <w:r w:rsidR="00BC5BC1">
        <w:rPr>
          <w:rFonts w:ascii="Times New Roman" w:hAnsi="Times New Roman" w:cs="Times New Roman"/>
          <w:i/>
          <w:sz w:val="18"/>
          <w:szCs w:val="18"/>
        </w:rPr>
        <w:t xml:space="preserve"> на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F304C">
        <w:rPr>
          <w:rFonts w:ascii="Times New Roman" w:hAnsi="Times New Roman" w:cs="Times New Roman"/>
          <w:i/>
          <w:sz w:val="18"/>
          <w:szCs w:val="18"/>
        </w:rPr>
        <w:t>отсутстви</w:t>
      </w:r>
      <w:r>
        <w:rPr>
          <w:rFonts w:ascii="Times New Roman" w:hAnsi="Times New Roman" w:cs="Times New Roman"/>
          <w:i/>
          <w:sz w:val="18"/>
          <w:szCs w:val="18"/>
        </w:rPr>
        <w:t>е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 у брокера права </w:t>
      </w:r>
      <w:r>
        <w:rPr>
          <w:rFonts w:ascii="Times New Roman" w:hAnsi="Times New Roman" w:cs="Times New Roman"/>
          <w:i/>
          <w:sz w:val="18"/>
          <w:szCs w:val="18"/>
        </w:rPr>
        <w:t xml:space="preserve">использования денежных средств клиента. При отсутствии права использовать денежные средства клиента иные сведения </w:t>
      </w:r>
      <w:r w:rsidR="00C57002">
        <w:rPr>
          <w:rFonts w:ascii="Times New Roman" w:hAnsi="Times New Roman" w:cs="Times New Roman"/>
          <w:i/>
          <w:sz w:val="18"/>
          <w:szCs w:val="18"/>
        </w:rPr>
        <w:t xml:space="preserve">раздела </w:t>
      </w:r>
      <w:r>
        <w:rPr>
          <w:rFonts w:ascii="Times New Roman" w:hAnsi="Times New Roman" w:cs="Times New Roman"/>
          <w:i/>
          <w:sz w:val="18"/>
          <w:szCs w:val="18"/>
        </w:rPr>
        <w:t xml:space="preserve">не указываются. </w:t>
      </w:r>
    </w:p>
  </w:footnote>
  <w:footnote w:id="11">
    <w:p w:rsidR="00883C82" w:rsidRPr="001F304C" w:rsidRDefault="00883C82" w:rsidP="00F70036">
      <w:pPr>
        <w:pStyle w:val="a3"/>
        <w:ind w:left="-709"/>
        <w:rPr>
          <w:sz w:val="18"/>
          <w:szCs w:val="18"/>
        </w:rPr>
      </w:pPr>
      <w:r w:rsidRPr="001F304C">
        <w:rPr>
          <w:rStyle w:val="a5"/>
          <w:sz w:val="18"/>
          <w:szCs w:val="18"/>
        </w:rPr>
        <w:footnoteRef/>
      </w:r>
      <w:r w:rsidRPr="001F304C">
        <w:rPr>
          <w:sz w:val="18"/>
          <w:szCs w:val="18"/>
        </w:rPr>
        <w:t xml:space="preserve"> </w:t>
      </w:r>
      <w:r w:rsidR="00FF3434">
        <w:rPr>
          <w:rFonts w:ascii="Times New Roman" w:hAnsi="Times New Roman" w:cs="Times New Roman"/>
          <w:i/>
          <w:sz w:val="18"/>
          <w:szCs w:val="18"/>
        </w:rPr>
        <w:t>ука</w:t>
      </w:r>
      <w:r w:rsidRPr="001F304C">
        <w:rPr>
          <w:rFonts w:ascii="Times New Roman" w:hAnsi="Times New Roman" w:cs="Times New Roman"/>
          <w:i/>
          <w:sz w:val="18"/>
          <w:szCs w:val="18"/>
        </w:rPr>
        <w:t>зыва</w:t>
      </w:r>
      <w:r>
        <w:rPr>
          <w:rFonts w:ascii="Times New Roman" w:hAnsi="Times New Roman" w:cs="Times New Roman"/>
          <w:i/>
          <w:sz w:val="18"/>
          <w:szCs w:val="18"/>
        </w:rPr>
        <w:t>ются виды сделок (договоров), в отношении которых брокер не предоставляет услуги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 в</w:t>
      </w:r>
      <w:r>
        <w:rPr>
          <w:rFonts w:ascii="Times New Roman" w:hAnsi="Times New Roman" w:cs="Times New Roman"/>
          <w:i/>
          <w:sz w:val="18"/>
          <w:szCs w:val="18"/>
        </w:rPr>
        <w:t xml:space="preserve"> случае обособленного учета ценных бумаг </w:t>
      </w:r>
      <w:r w:rsidR="00CC0379">
        <w:rPr>
          <w:rFonts w:ascii="Times New Roman" w:hAnsi="Times New Roman" w:cs="Times New Roman"/>
          <w:i/>
          <w:sz w:val="18"/>
          <w:szCs w:val="18"/>
        </w:rPr>
        <w:t xml:space="preserve">и денежных средств </w:t>
      </w:r>
      <w:r>
        <w:rPr>
          <w:rFonts w:ascii="Times New Roman" w:hAnsi="Times New Roman" w:cs="Times New Roman"/>
          <w:i/>
          <w:sz w:val="18"/>
          <w:szCs w:val="18"/>
        </w:rPr>
        <w:t xml:space="preserve">клиента. </w:t>
      </w:r>
      <w:r w:rsidR="00CC0379">
        <w:rPr>
          <w:rFonts w:ascii="Times New Roman" w:hAnsi="Times New Roman" w:cs="Times New Roman"/>
          <w:i/>
          <w:sz w:val="18"/>
          <w:szCs w:val="18"/>
        </w:rPr>
        <w:t>В</w:t>
      </w:r>
      <w:r w:rsidR="00CC0379" w:rsidRPr="00EA3FBA">
        <w:rPr>
          <w:rFonts w:ascii="Times New Roman" w:hAnsi="Times New Roman" w:cs="Times New Roman"/>
          <w:i/>
          <w:sz w:val="18"/>
          <w:szCs w:val="18"/>
        </w:rPr>
        <w:t xml:space="preserve"> случае, когда предоставление информации в соответствующем разделе является непрактичным в силу ее </w:t>
      </w:r>
      <w:r w:rsidR="00CC0379">
        <w:rPr>
          <w:rFonts w:ascii="Times New Roman" w:hAnsi="Times New Roman" w:cs="Times New Roman"/>
          <w:i/>
          <w:sz w:val="18"/>
          <w:szCs w:val="18"/>
        </w:rPr>
        <w:t>объема, указываются реквизиты документа, содержащего соответствующие сведения либо ссылка на соответствующие сведения на сайте брокера в сети Интернет.</w:t>
      </w:r>
    </w:p>
  </w:footnote>
  <w:footnote w:id="12">
    <w:p w:rsidR="00883C82" w:rsidRPr="001F304C" w:rsidRDefault="00883C82" w:rsidP="00F70036">
      <w:pPr>
        <w:pStyle w:val="a3"/>
        <w:ind w:left="-709"/>
        <w:rPr>
          <w:sz w:val="18"/>
          <w:szCs w:val="18"/>
        </w:rPr>
      </w:pPr>
      <w:r w:rsidRPr="001F304C">
        <w:rPr>
          <w:rStyle w:val="a5"/>
          <w:sz w:val="18"/>
          <w:szCs w:val="18"/>
        </w:rPr>
        <w:footnoteRef/>
      </w:r>
      <w:r w:rsidRPr="001F304C">
        <w:rPr>
          <w:sz w:val="18"/>
          <w:szCs w:val="18"/>
        </w:rPr>
        <w:t xml:space="preserve"> </w:t>
      </w:r>
      <w:r w:rsidR="00815BF4">
        <w:rPr>
          <w:rFonts w:ascii="Times New Roman" w:hAnsi="Times New Roman" w:cs="Times New Roman"/>
          <w:i/>
          <w:sz w:val="18"/>
          <w:szCs w:val="18"/>
        </w:rPr>
        <w:t>сведения у</w:t>
      </w:r>
      <w:r w:rsidRPr="001F304C">
        <w:rPr>
          <w:rFonts w:ascii="Times New Roman" w:hAnsi="Times New Roman" w:cs="Times New Roman"/>
          <w:i/>
          <w:sz w:val="18"/>
          <w:szCs w:val="18"/>
        </w:rPr>
        <w:t>казыва</w:t>
      </w:r>
      <w:r w:rsidR="00815BF4">
        <w:rPr>
          <w:rFonts w:ascii="Times New Roman" w:hAnsi="Times New Roman" w:cs="Times New Roman"/>
          <w:i/>
          <w:sz w:val="18"/>
          <w:szCs w:val="18"/>
        </w:rPr>
        <w:t>ю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тся в соответствующем случае. </w:t>
      </w:r>
      <w:r w:rsidR="00CC0379">
        <w:rPr>
          <w:rFonts w:ascii="Times New Roman" w:hAnsi="Times New Roman" w:cs="Times New Roman"/>
          <w:i/>
          <w:sz w:val="18"/>
          <w:szCs w:val="18"/>
        </w:rPr>
        <w:t>В</w:t>
      </w:r>
      <w:r w:rsidR="00CC0379" w:rsidRPr="00EA3FBA">
        <w:rPr>
          <w:rFonts w:ascii="Times New Roman" w:hAnsi="Times New Roman" w:cs="Times New Roman"/>
          <w:i/>
          <w:sz w:val="18"/>
          <w:szCs w:val="18"/>
        </w:rPr>
        <w:t xml:space="preserve"> случае, когда предоставление информации в соответствующем разделе является непрактичным в силу ее </w:t>
      </w:r>
      <w:r w:rsidR="00CC0379">
        <w:rPr>
          <w:rFonts w:ascii="Times New Roman" w:hAnsi="Times New Roman" w:cs="Times New Roman"/>
          <w:i/>
          <w:sz w:val="18"/>
          <w:szCs w:val="18"/>
        </w:rPr>
        <w:t>объема, указываются реквизиты документа, содержащего соответствующие сведения либо ссылка на соответствующие сведения на сайте брокера в сети Интернет.</w:t>
      </w:r>
    </w:p>
  </w:footnote>
  <w:footnote w:id="13">
    <w:p w:rsidR="00883C82" w:rsidRPr="001F304C" w:rsidRDefault="00883C82" w:rsidP="00F70036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1F304C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1F304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анный раздел </w:t>
      </w:r>
      <w:r>
        <w:rPr>
          <w:rFonts w:ascii="Times New Roman" w:hAnsi="Times New Roman" w:cs="Times New Roman"/>
          <w:i/>
          <w:sz w:val="18"/>
          <w:szCs w:val="18"/>
        </w:rPr>
        <w:t>включается в состав ключевой информации о договоре о брокерском обслуживании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 только </w:t>
      </w:r>
      <w:proofErr w:type="spellStart"/>
      <w:r w:rsidRPr="001F304C">
        <w:rPr>
          <w:rFonts w:ascii="Times New Roman" w:hAnsi="Times New Roman" w:cs="Times New Roman"/>
          <w:i/>
          <w:sz w:val="18"/>
          <w:szCs w:val="18"/>
        </w:rPr>
        <w:t>некредитными</w:t>
      </w:r>
      <w:proofErr w:type="spellEnd"/>
      <w:r w:rsidRPr="001F304C">
        <w:rPr>
          <w:rFonts w:ascii="Times New Roman" w:hAnsi="Times New Roman" w:cs="Times New Roman"/>
          <w:i/>
          <w:sz w:val="18"/>
          <w:szCs w:val="18"/>
        </w:rPr>
        <w:t xml:space="preserve"> организациями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 </w:t>
      </w:r>
    </w:p>
  </w:footnote>
  <w:footnote w:id="14">
    <w:p w:rsidR="00883C82" w:rsidRPr="002302F8" w:rsidRDefault="00883C82" w:rsidP="00F70036">
      <w:pPr>
        <w:spacing w:after="0" w:line="240" w:lineRule="auto"/>
        <w:ind w:left="-709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0C07C1">
        <w:rPr>
          <w:rStyle w:val="a5"/>
          <w:sz w:val="18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у</w:t>
      </w:r>
      <w:r w:rsidRPr="001F304C">
        <w:rPr>
          <w:rFonts w:ascii="Times New Roman" w:hAnsi="Times New Roman" w:cs="Times New Roman"/>
          <w:i/>
          <w:sz w:val="18"/>
          <w:szCs w:val="18"/>
        </w:rPr>
        <w:t>казывается в соответствующем случае</w:t>
      </w:r>
      <w:r>
        <w:rPr>
          <w:rFonts w:ascii="Times New Roman" w:hAnsi="Times New Roman" w:cs="Times New Roman"/>
          <w:i/>
          <w:sz w:val="18"/>
          <w:szCs w:val="18"/>
        </w:rPr>
        <w:t xml:space="preserve">, либо указывается </w:t>
      </w:r>
      <w:r w:rsidRPr="001F304C">
        <w:rPr>
          <w:rFonts w:ascii="Times New Roman" w:hAnsi="Times New Roman" w:cs="Times New Roman"/>
          <w:i/>
          <w:sz w:val="18"/>
          <w:szCs w:val="18"/>
        </w:rPr>
        <w:t>отсутстви</w:t>
      </w:r>
      <w:r>
        <w:rPr>
          <w:rFonts w:ascii="Times New Roman" w:hAnsi="Times New Roman" w:cs="Times New Roman"/>
          <w:i/>
          <w:sz w:val="18"/>
          <w:szCs w:val="18"/>
        </w:rPr>
        <w:t>е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 у брокера такого права</w:t>
      </w:r>
      <w:r>
        <w:rPr>
          <w:rFonts w:ascii="Times New Roman" w:hAnsi="Times New Roman" w:cs="Times New Roman"/>
          <w:i/>
          <w:sz w:val="18"/>
          <w:szCs w:val="18"/>
        </w:rPr>
        <w:t>. При отсутствии у брокера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 права</w:t>
      </w:r>
      <w:r>
        <w:rPr>
          <w:rFonts w:ascii="Times New Roman" w:hAnsi="Times New Roman" w:cs="Times New Roman"/>
          <w:i/>
          <w:sz w:val="18"/>
          <w:szCs w:val="18"/>
        </w:rPr>
        <w:t xml:space="preserve"> использования денежных средств клиента иные сведения</w:t>
      </w:r>
      <w:r w:rsidR="009F6F64">
        <w:rPr>
          <w:rFonts w:ascii="Times New Roman" w:hAnsi="Times New Roman" w:cs="Times New Roman"/>
          <w:i/>
          <w:sz w:val="18"/>
          <w:szCs w:val="18"/>
        </w:rPr>
        <w:t xml:space="preserve"> раздела</w:t>
      </w:r>
      <w:r>
        <w:rPr>
          <w:rFonts w:ascii="Times New Roman" w:hAnsi="Times New Roman" w:cs="Times New Roman"/>
          <w:i/>
          <w:sz w:val="18"/>
          <w:szCs w:val="18"/>
        </w:rPr>
        <w:t xml:space="preserve"> не указываются.</w:t>
      </w:r>
    </w:p>
  </w:footnote>
  <w:footnote w:id="15">
    <w:p w:rsidR="00E55D90" w:rsidRPr="0035783C" w:rsidRDefault="00E55D90">
      <w:pPr>
        <w:pStyle w:val="a3"/>
        <w:rPr>
          <w:sz w:val="2"/>
        </w:rPr>
      </w:pPr>
    </w:p>
  </w:footnote>
  <w:footnote w:id="16">
    <w:p w:rsidR="00E55D90" w:rsidRPr="0035783C" w:rsidRDefault="00E55D90">
      <w:pPr>
        <w:pStyle w:val="a3"/>
        <w:rPr>
          <w:sz w:val="2"/>
        </w:rPr>
      </w:pPr>
    </w:p>
  </w:footnote>
  <w:footnote w:id="17">
    <w:p w:rsidR="00CB1FA7" w:rsidRPr="0035783C" w:rsidRDefault="00CB1FA7" w:rsidP="00CB1FA7">
      <w:pPr>
        <w:pStyle w:val="a3"/>
        <w:rPr>
          <w:sz w:val="2"/>
          <w:szCs w:val="2"/>
        </w:rPr>
      </w:pPr>
    </w:p>
    <w:p w:rsidR="00883C82" w:rsidRPr="001F304C" w:rsidRDefault="00883C82" w:rsidP="00F70036">
      <w:pPr>
        <w:pStyle w:val="a3"/>
        <w:ind w:left="-709"/>
        <w:rPr>
          <w:sz w:val="18"/>
          <w:szCs w:val="18"/>
        </w:rPr>
      </w:pPr>
      <w:r w:rsidRPr="001F304C">
        <w:rPr>
          <w:rStyle w:val="a5"/>
          <w:sz w:val="18"/>
          <w:szCs w:val="18"/>
        </w:rPr>
        <w:footnoteRef/>
      </w:r>
      <w:r w:rsidRPr="001F304C">
        <w:rPr>
          <w:sz w:val="18"/>
          <w:szCs w:val="18"/>
        </w:rPr>
        <w:t xml:space="preserve"> </w:t>
      </w:r>
      <w:r w:rsidR="0020573A">
        <w:rPr>
          <w:rFonts w:ascii="Times New Roman" w:hAnsi="Times New Roman" w:cs="Times New Roman"/>
          <w:i/>
          <w:sz w:val="18"/>
          <w:szCs w:val="18"/>
        </w:rPr>
        <w:t>у</w:t>
      </w:r>
      <w:r>
        <w:rPr>
          <w:rFonts w:ascii="Times New Roman" w:hAnsi="Times New Roman" w:cs="Times New Roman"/>
          <w:i/>
          <w:sz w:val="18"/>
          <w:szCs w:val="18"/>
        </w:rPr>
        <w:t>казываются</w:t>
      </w:r>
      <w:r w:rsidR="00BC5BC1">
        <w:rPr>
          <w:rFonts w:ascii="Times New Roman" w:hAnsi="Times New Roman" w:cs="Times New Roman"/>
          <w:i/>
          <w:sz w:val="18"/>
          <w:szCs w:val="18"/>
        </w:rPr>
        <w:t xml:space="preserve"> способы подачи, сроки приема и </w:t>
      </w:r>
      <w:r>
        <w:rPr>
          <w:rFonts w:ascii="Times New Roman" w:hAnsi="Times New Roman" w:cs="Times New Roman"/>
          <w:i/>
          <w:sz w:val="18"/>
          <w:szCs w:val="18"/>
        </w:rPr>
        <w:t xml:space="preserve">исполнения поручений. </w:t>
      </w:r>
      <w:r w:rsidR="00A15325">
        <w:rPr>
          <w:rFonts w:ascii="Times New Roman" w:hAnsi="Times New Roman" w:cs="Times New Roman"/>
          <w:i/>
          <w:sz w:val="18"/>
          <w:szCs w:val="18"/>
        </w:rPr>
        <w:t>В</w:t>
      </w:r>
      <w:r w:rsidR="00A15325" w:rsidRPr="00EA3FBA">
        <w:rPr>
          <w:rFonts w:ascii="Times New Roman" w:hAnsi="Times New Roman" w:cs="Times New Roman"/>
          <w:i/>
          <w:sz w:val="18"/>
          <w:szCs w:val="18"/>
        </w:rPr>
        <w:t xml:space="preserve"> случае, к</w:t>
      </w:r>
      <w:bookmarkStart w:id="0" w:name="_GoBack"/>
      <w:bookmarkEnd w:id="0"/>
      <w:r w:rsidR="00A15325" w:rsidRPr="00EA3FBA">
        <w:rPr>
          <w:rFonts w:ascii="Times New Roman" w:hAnsi="Times New Roman" w:cs="Times New Roman"/>
          <w:i/>
          <w:sz w:val="18"/>
          <w:szCs w:val="18"/>
        </w:rPr>
        <w:t xml:space="preserve">огда предоставление информации в соответствующем разделе является непрактичным в силу ее </w:t>
      </w:r>
      <w:r w:rsidR="00A15325">
        <w:rPr>
          <w:rFonts w:ascii="Times New Roman" w:hAnsi="Times New Roman" w:cs="Times New Roman"/>
          <w:i/>
          <w:sz w:val="18"/>
          <w:szCs w:val="18"/>
        </w:rPr>
        <w:t>объема, указываются реквизиты документа, содержащего соответствующие сведения либо ссылка на соответствующие сведения на сайте брокера в сети Интернет.</w:t>
      </w:r>
    </w:p>
  </w:footnote>
  <w:footnote w:id="18">
    <w:p w:rsidR="00883C82" w:rsidRPr="001F304C" w:rsidRDefault="00883C82" w:rsidP="00F70036">
      <w:pPr>
        <w:pStyle w:val="a3"/>
        <w:ind w:left="-709"/>
        <w:rPr>
          <w:sz w:val="18"/>
          <w:szCs w:val="18"/>
        </w:rPr>
      </w:pPr>
      <w:r w:rsidRPr="001F304C">
        <w:rPr>
          <w:rStyle w:val="a5"/>
          <w:sz w:val="18"/>
          <w:szCs w:val="18"/>
        </w:rPr>
        <w:footnoteRef/>
      </w:r>
      <w:r w:rsidRPr="001F304C">
        <w:rPr>
          <w:sz w:val="18"/>
          <w:szCs w:val="18"/>
        </w:rPr>
        <w:t xml:space="preserve"> </w:t>
      </w:r>
      <w:r w:rsidR="00FD0738">
        <w:rPr>
          <w:rFonts w:ascii="Times New Roman" w:hAnsi="Times New Roman" w:cs="Times New Roman"/>
          <w:i/>
          <w:sz w:val="18"/>
          <w:szCs w:val="18"/>
        </w:rPr>
        <w:t>у</w:t>
      </w:r>
      <w:r w:rsidRPr="001F304C">
        <w:rPr>
          <w:rFonts w:ascii="Times New Roman" w:hAnsi="Times New Roman" w:cs="Times New Roman"/>
          <w:i/>
          <w:sz w:val="18"/>
          <w:szCs w:val="18"/>
        </w:rPr>
        <w:t>казыва</w:t>
      </w:r>
      <w:r w:rsidR="00920125">
        <w:rPr>
          <w:rFonts w:ascii="Times New Roman" w:hAnsi="Times New Roman" w:cs="Times New Roman"/>
          <w:i/>
          <w:sz w:val="18"/>
          <w:szCs w:val="18"/>
        </w:rPr>
        <w:t>е</w:t>
      </w:r>
      <w:r w:rsidRPr="001F304C">
        <w:rPr>
          <w:rFonts w:ascii="Times New Roman" w:hAnsi="Times New Roman" w:cs="Times New Roman"/>
          <w:i/>
          <w:sz w:val="18"/>
          <w:szCs w:val="18"/>
        </w:rPr>
        <w:t>тся</w:t>
      </w:r>
      <w:r w:rsidR="00BC5BC1">
        <w:rPr>
          <w:rFonts w:ascii="Times New Roman" w:hAnsi="Times New Roman" w:cs="Times New Roman"/>
          <w:i/>
          <w:sz w:val="18"/>
          <w:szCs w:val="18"/>
        </w:rPr>
        <w:t xml:space="preserve"> способ и сроки получения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 отчетны</w:t>
      </w:r>
      <w:r w:rsidR="00BC5BC1">
        <w:rPr>
          <w:rFonts w:ascii="Times New Roman" w:hAnsi="Times New Roman" w:cs="Times New Roman"/>
          <w:i/>
          <w:sz w:val="18"/>
          <w:szCs w:val="18"/>
        </w:rPr>
        <w:t>х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 документ</w:t>
      </w:r>
      <w:r w:rsidR="00BC5BC1">
        <w:rPr>
          <w:rFonts w:ascii="Times New Roman" w:hAnsi="Times New Roman" w:cs="Times New Roman"/>
          <w:i/>
          <w:sz w:val="18"/>
          <w:szCs w:val="18"/>
        </w:rPr>
        <w:t>ов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 брокера, предусмотренны</w:t>
      </w:r>
      <w:r w:rsidR="00BC5BC1">
        <w:rPr>
          <w:rFonts w:ascii="Times New Roman" w:hAnsi="Times New Roman" w:cs="Times New Roman"/>
          <w:i/>
          <w:sz w:val="18"/>
          <w:szCs w:val="18"/>
        </w:rPr>
        <w:t>х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 п. 9.2. Положения Банка России от 31.01.2017г. №577-П «О правилах ведения внутреннего учета профессиональными участниками рынка ценных бумаг, осуществляющими брокерскую деятельность, дилерскую деятельность и деятельность по управлению ценными бумагами</w:t>
      </w:r>
      <w:proofErr w:type="gramStart"/>
      <w:r w:rsidRPr="001F304C">
        <w:rPr>
          <w:rFonts w:ascii="Times New Roman" w:hAnsi="Times New Roman" w:cs="Times New Roman"/>
          <w:i/>
          <w:sz w:val="18"/>
          <w:szCs w:val="18"/>
        </w:rPr>
        <w:t>»</w:t>
      </w:r>
      <w:r w:rsidR="00BC5BC1">
        <w:rPr>
          <w:rFonts w:ascii="Times New Roman" w:hAnsi="Times New Roman" w:cs="Times New Roman"/>
          <w:i/>
          <w:sz w:val="18"/>
          <w:szCs w:val="18"/>
        </w:rPr>
        <w:t>.</w:t>
      </w:r>
      <w:r w:rsidRPr="001F304C">
        <w:rPr>
          <w:rFonts w:ascii="Times New Roman" w:hAnsi="Times New Roman" w:cs="Times New Roman"/>
          <w:i/>
          <w:sz w:val="18"/>
          <w:szCs w:val="18"/>
        </w:rPr>
        <w:t>.</w:t>
      </w:r>
      <w:proofErr w:type="gramEnd"/>
      <w:r w:rsidR="00A15325">
        <w:rPr>
          <w:rFonts w:ascii="Times New Roman" w:hAnsi="Times New Roman" w:cs="Times New Roman"/>
          <w:i/>
          <w:sz w:val="18"/>
          <w:szCs w:val="18"/>
        </w:rPr>
        <w:t xml:space="preserve"> В</w:t>
      </w:r>
      <w:r w:rsidR="00A15325" w:rsidRPr="00EA3FBA">
        <w:rPr>
          <w:rFonts w:ascii="Times New Roman" w:hAnsi="Times New Roman" w:cs="Times New Roman"/>
          <w:i/>
          <w:sz w:val="18"/>
          <w:szCs w:val="18"/>
        </w:rPr>
        <w:t xml:space="preserve"> случае, когда предоставление информации в соответствующем разделе является непрактичным в силу ее </w:t>
      </w:r>
      <w:r w:rsidR="00A15325">
        <w:rPr>
          <w:rFonts w:ascii="Times New Roman" w:hAnsi="Times New Roman" w:cs="Times New Roman"/>
          <w:i/>
          <w:sz w:val="18"/>
          <w:szCs w:val="18"/>
        </w:rPr>
        <w:t>объема, указываются реквизиты документа, содержащего соответствующие сведения либо ссылка на соответствующие сведения на сайте брокера в сети Интернет.</w:t>
      </w:r>
      <w:r w:rsidRPr="001F304C">
        <w:rPr>
          <w:i/>
          <w:sz w:val="18"/>
          <w:szCs w:val="18"/>
        </w:rPr>
        <w:t xml:space="preserve">  </w:t>
      </w:r>
    </w:p>
  </w:footnote>
  <w:footnote w:id="19">
    <w:p w:rsidR="00883C82" w:rsidRPr="001F304C" w:rsidRDefault="00883C82" w:rsidP="00F70036">
      <w:pPr>
        <w:pStyle w:val="a3"/>
        <w:ind w:left="-709"/>
        <w:rPr>
          <w:sz w:val="18"/>
          <w:szCs w:val="18"/>
        </w:rPr>
      </w:pPr>
      <w:r w:rsidRPr="001F304C">
        <w:rPr>
          <w:rStyle w:val="a5"/>
          <w:sz w:val="18"/>
          <w:szCs w:val="18"/>
        </w:rPr>
        <w:footnoteRef/>
      </w:r>
      <w:r w:rsidRPr="001F304C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у</w:t>
      </w:r>
      <w:r w:rsidRPr="001F304C">
        <w:rPr>
          <w:rFonts w:ascii="Times New Roman" w:hAnsi="Times New Roman" w:cs="Times New Roman"/>
          <w:i/>
          <w:sz w:val="18"/>
          <w:szCs w:val="18"/>
        </w:rPr>
        <w:t>казываются сведения о случаях, когда ответственность брокера ограничена в соответствии с условиями брокерского договора</w:t>
      </w:r>
      <w:r w:rsidR="00A15325">
        <w:rPr>
          <w:rFonts w:ascii="Times New Roman" w:hAnsi="Times New Roman" w:cs="Times New Roman"/>
          <w:i/>
          <w:sz w:val="18"/>
          <w:szCs w:val="18"/>
        </w:rPr>
        <w:t>. В</w:t>
      </w:r>
      <w:r w:rsidR="00A15325" w:rsidRPr="00EA3FBA">
        <w:rPr>
          <w:rFonts w:ascii="Times New Roman" w:hAnsi="Times New Roman" w:cs="Times New Roman"/>
          <w:i/>
          <w:sz w:val="18"/>
          <w:szCs w:val="18"/>
        </w:rPr>
        <w:t xml:space="preserve"> случае, когда предоставление информации в соответствующем разделе является непрактичным в силу ее </w:t>
      </w:r>
      <w:r w:rsidR="00A15325">
        <w:rPr>
          <w:rFonts w:ascii="Times New Roman" w:hAnsi="Times New Roman" w:cs="Times New Roman"/>
          <w:i/>
          <w:sz w:val="18"/>
          <w:szCs w:val="18"/>
        </w:rPr>
        <w:t>объема, указываются реквизиты документа, содержащего соответствующие сведения либо ссылка на соответствующие сведения на сайте брокера в сети Интернет.</w:t>
      </w:r>
    </w:p>
  </w:footnote>
  <w:footnote w:id="20">
    <w:p w:rsidR="00883C82" w:rsidRPr="001F304C" w:rsidRDefault="00883C82" w:rsidP="00F70036">
      <w:pPr>
        <w:pStyle w:val="a3"/>
        <w:ind w:left="-709"/>
        <w:rPr>
          <w:sz w:val="18"/>
          <w:szCs w:val="18"/>
        </w:rPr>
      </w:pPr>
      <w:r w:rsidRPr="001F304C">
        <w:rPr>
          <w:rStyle w:val="a5"/>
          <w:sz w:val="18"/>
          <w:szCs w:val="18"/>
        </w:rPr>
        <w:footnoteRef/>
      </w:r>
      <w:r w:rsidRPr="001F304C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у</w:t>
      </w:r>
      <w:r w:rsidRPr="001F304C">
        <w:rPr>
          <w:rFonts w:ascii="Times New Roman" w:hAnsi="Times New Roman" w:cs="Times New Roman"/>
          <w:i/>
          <w:sz w:val="18"/>
          <w:szCs w:val="18"/>
        </w:rPr>
        <w:t>казываются случаи, когда брокер осуществляет функцию налогового агента, а также случаи, когда брокер не осуществляет функции налогового агента.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15325">
        <w:rPr>
          <w:rFonts w:ascii="Times New Roman" w:hAnsi="Times New Roman" w:cs="Times New Roman"/>
          <w:i/>
          <w:sz w:val="18"/>
          <w:szCs w:val="18"/>
        </w:rPr>
        <w:t>В</w:t>
      </w:r>
      <w:r w:rsidR="00A15325" w:rsidRPr="00EA3FBA">
        <w:rPr>
          <w:rFonts w:ascii="Times New Roman" w:hAnsi="Times New Roman" w:cs="Times New Roman"/>
          <w:i/>
          <w:sz w:val="18"/>
          <w:szCs w:val="18"/>
        </w:rPr>
        <w:t xml:space="preserve"> случае, когда предоставление информации в соответствующем разделе является непрактичным в силу ее </w:t>
      </w:r>
      <w:r w:rsidR="00A15325">
        <w:rPr>
          <w:rFonts w:ascii="Times New Roman" w:hAnsi="Times New Roman" w:cs="Times New Roman"/>
          <w:i/>
          <w:sz w:val="18"/>
          <w:szCs w:val="18"/>
        </w:rPr>
        <w:t>объема, указываются реквизиты документа, содержащего соответствующие сведения либо ссылка на соответствующие сведения на сайте брокера в сети Интернет.</w:t>
      </w:r>
    </w:p>
  </w:footnote>
  <w:footnote w:id="21">
    <w:p w:rsidR="00F667C1" w:rsidRPr="001F304C" w:rsidRDefault="00883C82" w:rsidP="00F667C1">
      <w:pPr>
        <w:pStyle w:val="a3"/>
        <w:ind w:left="-709"/>
        <w:rPr>
          <w:sz w:val="18"/>
          <w:szCs w:val="18"/>
        </w:rPr>
      </w:pPr>
      <w:r w:rsidRPr="001F304C">
        <w:rPr>
          <w:rStyle w:val="a5"/>
          <w:sz w:val="18"/>
          <w:szCs w:val="18"/>
        </w:rPr>
        <w:footnoteRef/>
      </w:r>
      <w:r w:rsidRPr="001F304C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у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казываются адреса направления обращений (жалоб) в соответствии с п.5.4 «Базового стандарта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брокеров». </w:t>
      </w:r>
      <w:r w:rsidR="00F667C1">
        <w:rPr>
          <w:rFonts w:ascii="Times New Roman" w:hAnsi="Times New Roman" w:cs="Times New Roman"/>
          <w:i/>
          <w:sz w:val="18"/>
          <w:szCs w:val="18"/>
        </w:rPr>
        <w:t>В</w:t>
      </w:r>
      <w:r w:rsidR="00F667C1" w:rsidRPr="00EA3FBA">
        <w:rPr>
          <w:rFonts w:ascii="Times New Roman" w:hAnsi="Times New Roman" w:cs="Times New Roman"/>
          <w:i/>
          <w:sz w:val="18"/>
          <w:szCs w:val="18"/>
        </w:rPr>
        <w:t xml:space="preserve"> случае, когда предоставление информации в соответствующем разделе является непрактичным в силу ее </w:t>
      </w:r>
      <w:r w:rsidR="00F667C1">
        <w:rPr>
          <w:rFonts w:ascii="Times New Roman" w:hAnsi="Times New Roman" w:cs="Times New Roman"/>
          <w:i/>
          <w:sz w:val="18"/>
          <w:szCs w:val="18"/>
        </w:rPr>
        <w:t>объема, указываются реквизиты документа, содержащего соответствующие сведения либо ссылка на соответствующие сведения на сайте брокера в сети Интернет.</w:t>
      </w:r>
    </w:p>
    <w:p w:rsidR="00883C82" w:rsidRPr="001F304C" w:rsidRDefault="00883C82" w:rsidP="00F70036">
      <w:pPr>
        <w:spacing w:after="0" w:line="240" w:lineRule="auto"/>
        <w:ind w:left="-709"/>
        <w:contextualSpacing/>
        <w:rPr>
          <w:rFonts w:ascii="Times New Roman" w:hAnsi="Times New Roman" w:cs="Times New Roman"/>
          <w:i/>
          <w:sz w:val="18"/>
          <w:szCs w:val="18"/>
        </w:rPr>
      </w:pPr>
    </w:p>
  </w:footnote>
  <w:footnote w:id="22">
    <w:p w:rsidR="00883C82" w:rsidRDefault="00883C82" w:rsidP="00F70036">
      <w:pPr>
        <w:pStyle w:val="a3"/>
        <w:ind w:left="-709"/>
        <w:contextualSpacing/>
      </w:pPr>
      <w:r w:rsidRPr="001F304C">
        <w:rPr>
          <w:rStyle w:val="a5"/>
          <w:sz w:val="18"/>
          <w:szCs w:val="18"/>
        </w:rPr>
        <w:footnoteRef/>
      </w:r>
      <w:r w:rsidRPr="001F304C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у</w:t>
      </w:r>
      <w:r w:rsidRPr="001F304C">
        <w:rPr>
          <w:rFonts w:ascii="Times New Roman" w:hAnsi="Times New Roman" w:cs="Times New Roman"/>
          <w:i/>
          <w:sz w:val="18"/>
          <w:szCs w:val="18"/>
        </w:rPr>
        <w:t xml:space="preserve">казываются формы реализации права получателя финансовых услуг на досудебный (внесудебный) порядок разрешения споров в соответствии с п.9 «Базового стандарта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брокеров». </w:t>
      </w:r>
      <w:r w:rsidR="004A0D7E">
        <w:rPr>
          <w:rFonts w:ascii="Times New Roman" w:hAnsi="Times New Roman" w:cs="Times New Roman"/>
          <w:i/>
          <w:sz w:val="18"/>
          <w:szCs w:val="18"/>
        </w:rPr>
        <w:t>В</w:t>
      </w:r>
      <w:r w:rsidR="004A0D7E" w:rsidRPr="00EA3FBA">
        <w:rPr>
          <w:rFonts w:ascii="Times New Roman" w:hAnsi="Times New Roman" w:cs="Times New Roman"/>
          <w:i/>
          <w:sz w:val="18"/>
          <w:szCs w:val="18"/>
        </w:rPr>
        <w:t xml:space="preserve"> случае, когда предоставление информации в соответствующем разделе является непрактичным в силу ее </w:t>
      </w:r>
      <w:r w:rsidR="004A0D7E">
        <w:rPr>
          <w:rFonts w:ascii="Times New Roman" w:hAnsi="Times New Roman" w:cs="Times New Roman"/>
          <w:i/>
          <w:sz w:val="18"/>
          <w:szCs w:val="18"/>
        </w:rPr>
        <w:t>объема, указываются реквизиты документа, содержащего соответствующие сведения либо ссылка на соответствующие сведения на сайте брокера в сети Интернет.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6289"/>
      <w:docPartObj>
        <w:docPartGallery w:val="Page Numbers (Top of Page)"/>
        <w:docPartUnique/>
      </w:docPartObj>
    </w:sdtPr>
    <w:sdtEndPr/>
    <w:sdtContent>
      <w:p w:rsidR="00F62BF2" w:rsidRDefault="0090486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D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2BF2" w:rsidRDefault="00F62B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0E"/>
    <w:rsid w:val="00000A50"/>
    <w:rsid w:val="00003536"/>
    <w:rsid w:val="000075E7"/>
    <w:rsid w:val="00007971"/>
    <w:rsid w:val="00011B0A"/>
    <w:rsid w:val="000144DB"/>
    <w:rsid w:val="00014F8A"/>
    <w:rsid w:val="00023EAF"/>
    <w:rsid w:val="00034A45"/>
    <w:rsid w:val="00041841"/>
    <w:rsid w:val="00041A5C"/>
    <w:rsid w:val="0005093A"/>
    <w:rsid w:val="00061008"/>
    <w:rsid w:val="0006176C"/>
    <w:rsid w:val="00066BAD"/>
    <w:rsid w:val="00070055"/>
    <w:rsid w:val="000743C3"/>
    <w:rsid w:val="000856DE"/>
    <w:rsid w:val="000867B2"/>
    <w:rsid w:val="00087C2E"/>
    <w:rsid w:val="0009126B"/>
    <w:rsid w:val="00093362"/>
    <w:rsid w:val="00094B92"/>
    <w:rsid w:val="000A2D39"/>
    <w:rsid w:val="000A3824"/>
    <w:rsid w:val="000A41E8"/>
    <w:rsid w:val="000A49BC"/>
    <w:rsid w:val="000A4C0C"/>
    <w:rsid w:val="000A6625"/>
    <w:rsid w:val="000B073C"/>
    <w:rsid w:val="000B1B54"/>
    <w:rsid w:val="000C07C1"/>
    <w:rsid w:val="000C17EB"/>
    <w:rsid w:val="000C3B06"/>
    <w:rsid w:val="000C6001"/>
    <w:rsid w:val="000D29CD"/>
    <w:rsid w:val="000D2E10"/>
    <w:rsid w:val="000D4641"/>
    <w:rsid w:val="000E2202"/>
    <w:rsid w:val="000E22E2"/>
    <w:rsid w:val="000E4987"/>
    <w:rsid w:val="000F1780"/>
    <w:rsid w:val="000F23D3"/>
    <w:rsid w:val="000F33F5"/>
    <w:rsid w:val="0010015A"/>
    <w:rsid w:val="0010223E"/>
    <w:rsid w:val="001053A6"/>
    <w:rsid w:val="00105DE4"/>
    <w:rsid w:val="00105E21"/>
    <w:rsid w:val="00107ACB"/>
    <w:rsid w:val="00110919"/>
    <w:rsid w:val="00113192"/>
    <w:rsid w:val="00113F51"/>
    <w:rsid w:val="001147D6"/>
    <w:rsid w:val="001174BB"/>
    <w:rsid w:val="0013199A"/>
    <w:rsid w:val="00134CEE"/>
    <w:rsid w:val="001375B9"/>
    <w:rsid w:val="00143A70"/>
    <w:rsid w:val="001538EE"/>
    <w:rsid w:val="00153B98"/>
    <w:rsid w:val="00181F31"/>
    <w:rsid w:val="00191CC1"/>
    <w:rsid w:val="001A12FA"/>
    <w:rsid w:val="001A20F5"/>
    <w:rsid w:val="001A6BD1"/>
    <w:rsid w:val="001B0E51"/>
    <w:rsid w:val="001B543D"/>
    <w:rsid w:val="001C2A3E"/>
    <w:rsid w:val="001E6B1E"/>
    <w:rsid w:val="001F304C"/>
    <w:rsid w:val="00200E5B"/>
    <w:rsid w:val="0020403F"/>
    <w:rsid w:val="0020573A"/>
    <w:rsid w:val="00211856"/>
    <w:rsid w:val="00212D12"/>
    <w:rsid w:val="00215740"/>
    <w:rsid w:val="00226452"/>
    <w:rsid w:val="0022678A"/>
    <w:rsid w:val="002302F8"/>
    <w:rsid w:val="00231F9D"/>
    <w:rsid w:val="002346FE"/>
    <w:rsid w:val="002404C0"/>
    <w:rsid w:val="002441C9"/>
    <w:rsid w:val="00246561"/>
    <w:rsid w:val="002604B6"/>
    <w:rsid w:val="00264089"/>
    <w:rsid w:val="0026723F"/>
    <w:rsid w:val="002706DC"/>
    <w:rsid w:val="00270916"/>
    <w:rsid w:val="00271A15"/>
    <w:rsid w:val="00273894"/>
    <w:rsid w:val="00276334"/>
    <w:rsid w:val="00276B9D"/>
    <w:rsid w:val="00284A23"/>
    <w:rsid w:val="00294166"/>
    <w:rsid w:val="00297487"/>
    <w:rsid w:val="002A0A2F"/>
    <w:rsid w:val="002A1DC7"/>
    <w:rsid w:val="002A2266"/>
    <w:rsid w:val="002A2B6E"/>
    <w:rsid w:val="002A337F"/>
    <w:rsid w:val="002B77FC"/>
    <w:rsid w:val="002C24A3"/>
    <w:rsid w:val="002D431B"/>
    <w:rsid w:val="002D7FDC"/>
    <w:rsid w:val="002E3B82"/>
    <w:rsid w:val="002E5D3D"/>
    <w:rsid w:val="002F13C3"/>
    <w:rsid w:val="0030018F"/>
    <w:rsid w:val="003103FD"/>
    <w:rsid w:val="00317E85"/>
    <w:rsid w:val="0032399E"/>
    <w:rsid w:val="003264FA"/>
    <w:rsid w:val="00327E8C"/>
    <w:rsid w:val="003321E4"/>
    <w:rsid w:val="00332210"/>
    <w:rsid w:val="00337302"/>
    <w:rsid w:val="0035417E"/>
    <w:rsid w:val="00354885"/>
    <w:rsid w:val="00354AC6"/>
    <w:rsid w:val="0035783C"/>
    <w:rsid w:val="00370CD6"/>
    <w:rsid w:val="00371895"/>
    <w:rsid w:val="00372014"/>
    <w:rsid w:val="00385CB3"/>
    <w:rsid w:val="003928CD"/>
    <w:rsid w:val="00397012"/>
    <w:rsid w:val="003A0E3A"/>
    <w:rsid w:val="003A140C"/>
    <w:rsid w:val="003B15DC"/>
    <w:rsid w:val="003C4E64"/>
    <w:rsid w:val="003C74F7"/>
    <w:rsid w:val="003D32FC"/>
    <w:rsid w:val="003E0203"/>
    <w:rsid w:val="003E3ED0"/>
    <w:rsid w:val="00403FCA"/>
    <w:rsid w:val="00404824"/>
    <w:rsid w:val="004108C9"/>
    <w:rsid w:val="0041142C"/>
    <w:rsid w:val="004174E7"/>
    <w:rsid w:val="00420A63"/>
    <w:rsid w:val="00423DDE"/>
    <w:rsid w:val="00430047"/>
    <w:rsid w:val="00434174"/>
    <w:rsid w:val="00444315"/>
    <w:rsid w:val="00451C1D"/>
    <w:rsid w:val="00454A75"/>
    <w:rsid w:val="00460503"/>
    <w:rsid w:val="00461929"/>
    <w:rsid w:val="00463148"/>
    <w:rsid w:val="00465D12"/>
    <w:rsid w:val="0047042E"/>
    <w:rsid w:val="004755D6"/>
    <w:rsid w:val="00480F83"/>
    <w:rsid w:val="00483913"/>
    <w:rsid w:val="004875BF"/>
    <w:rsid w:val="00487AC2"/>
    <w:rsid w:val="0049448F"/>
    <w:rsid w:val="004A0D7E"/>
    <w:rsid w:val="004C73DC"/>
    <w:rsid w:val="004D0FCD"/>
    <w:rsid w:val="004D266A"/>
    <w:rsid w:val="004E231D"/>
    <w:rsid w:val="004E2934"/>
    <w:rsid w:val="004E2A94"/>
    <w:rsid w:val="004E3808"/>
    <w:rsid w:val="004F1765"/>
    <w:rsid w:val="004F2876"/>
    <w:rsid w:val="004F7897"/>
    <w:rsid w:val="00501202"/>
    <w:rsid w:val="00505F7E"/>
    <w:rsid w:val="0051241F"/>
    <w:rsid w:val="0051270A"/>
    <w:rsid w:val="00523585"/>
    <w:rsid w:val="00523D30"/>
    <w:rsid w:val="00525BD8"/>
    <w:rsid w:val="0053129F"/>
    <w:rsid w:val="00552E01"/>
    <w:rsid w:val="005559BE"/>
    <w:rsid w:val="00561640"/>
    <w:rsid w:val="00565D9C"/>
    <w:rsid w:val="00581E13"/>
    <w:rsid w:val="00584ED0"/>
    <w:rsid w:val="005863FF"/>
    <w:rsid w:val="00590F1E"/>
    <w:rsid w:val="00594215"/>
    <w:rsid w:val="005951C5"/>
    <w:rsid w:val="00597127"/>
    <w:rsid w:val="005A2499"/>
    <w:rsid w:val="005A3724"/>
    <w:rsid w:val="005A520A"/>
    <w:rsid w:val="005A66D4"/>
    <w:rsid w:val="005B7059"/>
    <w:rsid w:val="005C4BC2"/>
    <w:rsid w:val="005C5490"/>
    <w:rsid w:val="005D3585"/>
    <w:rsid w:val="005E7C56"/>
    <w:rsid w:val="005F17F8"/>
    <w:rsid w:val="005F22EE"/>
    <w:rsid w:val="005F58DD"/>
    <w:rsid w:val="00626C27"/>
    <w:rsid w:val="00630DA7"/>
    <w:rsid w:val="006314D2"/>
    <w:rsid w:val="0063356D"/>
    <w:rsid w:val="006565C8"/>
    <w:rsid w:val="00661894"/>
    <w:rsid w:val="00666A01"/>
    <w:rsid w:val="006743F8"/>
    <w:rsid w:val="00682C57"/>
    <w:rsid w:val="00684522"/>
    <w:rsid w:val="00692B43"/>
    <w:rsid w:val="00694063"/>
    <w:rsid w:val="00694D72"/>
    <w:rsid w:val="006A2B65"/>
    <w:rsid w:val="006A59D2"/>
    <w:rsid w:val="006B0B02"/>
    <w:rsid w:val="006B4369"/>
    <w:rsid w:val="006C14FE"/>
    <w:rsid w:val="006C2953"/>
    <w:rsid w:val="006C4F94"/>
    <w:rsid w:val="006C5070"/>
    <w:rsid w:val="006D2990"/>
    <w:rsid w:val="006D74D8"/>
    <w:rsid w:val="006E1296"/>
    <w:rsid w:val="006E62CD"/>
    <w:rsid w:val="006F5F89"/>
    <w:rsid w:val="006F63E9"/>
    <w:rsid w:val="00704384"/>
    <w:rsid w:val="00704E98"/>
    <w:rsid w:val="00705466"/>
    <w:rsid w:val="00723BB6"/>
    <w:rsid w:val="00730937"/>
    <w:rsid w:val="007344D3"/>
    <w:rsid w:val="0073704A"/>
    <w:rsid w:val="00743871"/>
    <w:rsid w:val="007504B0"/>
    <w:rsid w:val="00750566"/>
    <w:rsid w:val="00757B04"/>
    <w:rsid w:val="00761A69"/>
    <w:rsid w:val="00761D5F"/>
    <w:rsid w:val="007647A8"/>
    <w:rsid w:val="00765A2E"/>
    <w:rsid w:val="007804C5"/>
    <w:rsid w:val="00781575"/>
    <w:rsid w:val="007829D1"/>
    <w:rsid w:val="0079086D"/>
    <w:rsid w:val="00790EDE"/>
    <w:rsid w:val="00797ADD"/>
    <w:rsid w:val="007A365F"/>
    <w:rsid w:val="007C1B8F"/>
    <w:rsid w:val="007E2C41"/>
    <w:rsid w:val="007E5677"/>
    <w:rsid w:val="007F54A5"/>
    <w:rsid w:val="007F61EC"/>
    <w:rsid w:val="00805956"/>
    <w:rsid w:val="00806517"/>
    <w:rsid w:val="00814456"/>
    <w:rsid w:val="00814A5A"/>
    <w:rsid w:val="00814FC1"/>
    <w:rsid w:val="00815BF4"/>
    <w:rsid w:val="0081635C"/>
    <w:rsid w:val="008168C9"/>
    <w:rsid w:val="008225A2"/>
    <w:rsid w:val="00826812"/>
    <w:rsid w:val="00831F6B"/>
    <w:rsid w:val="00842532"/>
    <w:rsid w:val="00845777"/>
    <w:rsid w:val="008458A7"/>
    <w:rsid w:val="008579D0"/>
    <w:rsid w:val="00861461"/>
    <w:rsid w:val="008771C7"/>
    <w:rsid w:val="00883C82"/>
    <w:rsid w:val="00886F1F"/>
    <w:rsid w:val="0089142B"/>
    <w:rsid w:val="008945B9"/>
    <w:rsid w:val="008A1A1D"/>
    <w:rsid w:val="008A1D4A"/>
    <w:rsid w:val="008A7A5A"/>
    <w:rsid w:val="008B634A"/>
    <w:rsid w:val="008B7CB7"/>
    <w:rsid w:val="008C0EB6"/>
    <w:rsid w:val="008C2C4F"/>
    <w:rsid w:val="008D1A0D"/>
    <w:rsid w:val="008D464A"/>
    <w:rsid w:val="008D6BD9"/>
    <w:rsid w:val="008E331C"/>
    <w:rsid w:val="008E7B93"/>
    <w:rsid w:val="008F3560"/>
    <w:rsid w:val="008F5288"/>
    <w:rsid w:val="008F63BE"/>
    <w:rsid w:val="009046D7"/>
    <w:rsid w:val="0090486B"/>
    <w:rsid w:val="009077BA"/>
    <w:rsid w:val="00911EA4"/>
    <w:rsid w:val="00912FF9"/>
    <w:rsid w:val="009151F9"/>
    <w:rsid w:val="00915C35"/>
    <w:rsid w:val="00920125"/>
    <w:rsid w:val="00927534"/>
    <w:rsid w:val="00931A49"/>
    <w:rsid w:val="0094132A"/>
    <w:rsid w:val="0094406C"/>
    <w:rsid w:val="00950511"/>
    <w:rsid w:val="00957797"/>
    <w:rsid w:val="009674DA"/>
    <w:rsid w:val="00971FB4"/>
    <w:rsid w:val="00974605"/>
    <w:rsid w:val="009769C0"/>
    <w:rsid w:val="0098429A"/>
    <w:rsid w:val="009A7DC6"/>
    <w:rsid w:val="009B5112"/>
    <w:rsid w:val="009B5CDE"/>
    <w:rsid w:val="009B6D36"/>
    <w:rsid w:val="009C27E9"/>
    <w:rsid w:val="009C5E85"/>
    <w:rsid w:val="009D1E89"/>
    <w:rsid w:val="009E3C9D"/>
    <w:rsid w:val="009E56C3"/>
    <w:rsid w:val="009F6F64"/>
    <w:rsid w:val="009F7D4F"/>
    <w:rsid w:val="00A0186B"/>
    <w:rsid w:val="00A05A33"/>
    <w:rsid w:val="00A12C63"/>
    <w:rsid w:val="00A15325"/>
    <w:rsid w:val="00A1620E"/>
    <w:rsid w:val="00A20C80"/>
    <w:rsid w:val="00A212CD"/>
    <w:rsid w:val="00A30E9E"/>
    <w:rsid w:val="00A405B9"/>
    <w:rsid w:val="00A562CE"/>
    <w:rsid w:val="00A76B57"/>
    <w:rsid w:val="00A80444"/>
    <w:rsid w:val="00A815BF"/>
    <w:rsid w:val="00A825B0"/>
    <w:rsid w:val="00A87799"/>
    <w:rsid w:val="00A90214"/>
    <w:rsid w:val="00A95A47"/>
    <w:rsid w:val="00A95D31"/>
    <w:rsid w:val="00AA3CA2"/>
    <w:rsid w:val="00AA442C"/>
    <w:rsid w:val="00AA4BD9"/>
    <w:rsid w:val="00AA79CB"/>
    <w:rsid w:val="00AB0039"/>
    <w:rsid w:val="00AB0AAA"/>
    <w:rsid w:val="00AB737F"/>
    <w:rsid w:val="00AC1AB6"/>
    <w:rsid w:val="00AC1C50"/>
    <w:rsid w:val="00AD0A92"/>
    <w:rsid w:val="00AD1F4F"/>
    <w:rsid w:val="00AD28D7"/>
    <w:rsid w:val="00AD6BD2"/>
    <w:rsid w:val="00AE35E5"/>
    <w:rsid w:val="00AF1203"/>
    <w:rsid w:val="00AF237B"/>
    <w:rsid w:val="00B02160"/>
    <w:rsid w:val="00B0288F"/>
    <w:rsid w:val="00B12EF6"/>
    <w:rsid w:val="00B205C6"/>
    <w:rsid w:val="00B52FF9"/>
    <w:rsid w:val="00B705B7"/>
    <w:rsid w:val="00B73E22"/>
    <w:rsid w:val="00B773B3"/>
    <w:rsid w:val="00B9276F"/>
    <w:rsid w:val="00B930B7"/>
    <w:rsid w:val="00B943F0"/>
    <w:rsid w:val="00BA018D"/>
    <w:rsid w:val="00BA07DF"/>
    <w:rsid w:val="00BB2805"/>
    <w:rsid w:val="00BB7684"/>
    <w:rsid w:val="00BC35B3"/>
    <w:rsid w:val="00BC3E85"/>
    <w:rsid w:val="00BC4DE9"/>
    <w:rsid w:val="00BC5BC1"/>
    <w:rsid w:val="00BD20AA"/>
    <w:rsid w:val="00BD5EC0"/>
    <w:rsid w:val="00BE6DC3"/>
    <w:rsid w:val="00BF2B40"/>
    <w:rsid w:val="00BF39B9"/>
    <w:rsid w:val="00BF56B1"/>
    <w:rsid w:val="00C11837"/>
    <w:rsid w:val="00C133A1"/>
    <w:rsid w:val="00C13D82"/>
    <w:rsid w:val="00C27E6B"/>
    <w:rsid w:val="00C3010B"/>
    <w:rsid w:val="00C34898"/>
    <w:rsid w:val="00C36D74"/>
    <w:rsid w:val="00C3737C"/>
    <w:rsid w:val="00C46BFB"/>
    <w:rsid w:val="00C56DC4"/>
    <w:rsid w:val="00C57002"/>
    <w:rsid w:val="00C82F63"/>
    <w:rsid w:val="00C85B99"/>
    <w:rsid w:val="00CA5094"/>
    <w:rsid w:val="00CB1FA7"/>
    <w:rsid w:val="00CB51AE"/>
    <w:rsid w:val="00CB525B"/>
    <w:rsid w:val="00CB570D"/>
    <w:rsid w:val="00CC0379"/>
    <w:rsid w:val="00CC4156"/>
    <w:rsid w:val="00CC4354"/>
    <w:rsid w:val="00CD4F53"/>
    <w:rsid w:val="00CE082D"/>
    <w:rsid w:val="00CE1441"/>
    <w:rsid w:val="00CE251A"/>
    <w:rsid w:val="00CF11DB"/>
    <w:rsid w:val="00D01F4D"/>
    <w:rsid w:val="00D06265"/>
    <w:rsid w:val="00D55B77"/>
    <w:rsid w:val="00D60DAB"/>
    <w:rsid w:val="00D65C89"/>
    <w:rsid w:val="00D71647"/>
    <w:rsid w:val="00D72AEE"/>
    <w:rsid w:val="00D77DA0"/>
    <w:rsid w:val="00D85A7D"/>
    <w:rsid w:val="00D91EC1"/>
    <w:rsid w:val="00DA5A09"/>
    <w:rsid w:val="00DA60C9"/>
    <w:rsid w:val="00DA74A3"/>
    <w:rsid w:val="00DA7A27"/>
    <w:rsid w:val="00DC714F"/>
    <w:rsid w:val="00DD2056"/>
    <w:rsid w:val="00DD237C"/>
    <w:rsid w:val="00DD5BF5"/>
    <w:rsid w:val="00DE092C"/>
    <w:rsid w:val="00DF1445"/>
    <w:rsid w:val="00DF1906"/>
    <w:rsid w:val="00E00661"/>
    <w:rsid w:val="00E0118C"/>
    <w:rsid w:val="00E12170"/>
    <w:rsid w:val="00E17BA3"/>
    <w:rsid w:val="00E17EAB"/>
    <w:rsid w:val="00E2289C"/>
    <w:rsid w:val="00E32A5C"/>
    <w:rsid w:val="00E32AE6"/>
    <w:rsid w:val="00E333C5"/>
    <w:rsid w:val="00E37B26"/>
    <w:rsid w:val="00E45E39"/>
    <w:rsid w:val="00E52086"/>
    <w:rsid w:val="00E54856"/>
    <w:rsid w:val="00E55D90"/>
    <w:rsid w:val="00E562D2"/>
    <w:rsid w:val="00E610D6"/>
    <w:rsid w:val="00E67F84"/>
    <w:rsid w:val="00E731D9"/>
    <w:rsid w:val="00E73E70"/>
    <w:rsid w:val="00E85AD1"/>
    <w:rsid w:val="00E86D35"/>
    <w:rsid w:val="00EA3FBA"/>
    <w:rsid w:val="00EA6B53"/>
    <w:rsid w:val="00EB023C"/>
    <w:rsid w:val="00EB4260"/>
    <w:rsid w:val="00EC41B7"/>
    <w:rsid w:val="00EE56A6"/>
    <w:rsid w:val="00EE788C"/>
    <w:rsid w:val="00EF0D2D"/>
    <w:rsid w:val="00EF28FB"/>
    <w:rsid w:val="00EF5A1C"/>
    <w:rsid w:val="00F00462"/>
    <w:rsid w:val="00F00F01"/>
    <w:rsid w:val="00F048E7"/>
    <w:rsid w:val="00F06462"/>
    <w:rsid w:val="00F156B0"/>
    <w:rsid w:val="00F401A5"/>
    <w:rsid w:val="00F422C4"/>
    <w:rsid w:val="00F513F3"/>
    <w:rsid w:val="00F528DB"/>
    <w:rsid w:val="00F61B06"/>
    <w:rsid w:val="00F62BF2"/>
    <w:rsid w:val="00F6354A"/>
    <w:rsid w:val="00F667C1"/>
    <w:rsid w:val="00F677BB"/>
    <w:rsid w:val="00F70036"/>
    <w:rsid w:val="00F71D07"/>
    <w:rsid w:val="00F77C8B"/>
    <w:rsid w:val="00F92318"/>
    <w:rsid w:val="00F93E6B"/>
    <w:rsid w:val="00FB4869"/>
    <w:rsid w:val="00FB67B7"/>
    <w:rsid w:val="00FB7AE1"/>
    <w:rsid w:val="00FC68C7"/>
    <w:rsid w:val="00FD0738"/>
    <w:rsid w:val="00FD6874"/>
    <w:rsid w:val="00FD6A50"/>
    <w:rsid w:val="00FE2F67"/>
    <w:rsid w:val="00FE4F2B"/>
    <w:rsid w:val="00FE740E"/>
    <w:rsid w:val="00FF3434"/>
    <w:rsid w:val="00FF484E"/>
    <w:rsid w:val="00FF6E3D"/>
    <w:rsid w:val="00FF7148"/>
    <w:rsid w:val="00FF76F5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7795EEB"/>
  <w15:docId w15:val="{0F9F4795-A5E6-4429-8B56-3E21687A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6B1"/>
  </w:style>
  <w:style w:type="paragraph" w:styleId="1">
    <w:name w:val="heading 1"/>
    <w:basedOn w:val="a"/>
    <w:next w:val="a"/>
    <w:link w:val="10"/>
    <w:uiPriority w:val="9"/>
    <w:qFormat/>
    <w:rsid w:val="003C74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373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373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37302"/>
    <w:rPr>
      <w:vertAlign w:val="superscript"/>
    </w:rPr>
  </w:style>
  <w:style w:type="character" w:customStyle="1" w:styleId="fontstyle01">
    <w:name w:val="fontstyle01"/>
    <w:basedOn w:val="a0"/>
    <w:rsid w:val="00A05A3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42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22C4"/>
  </w:style>
  <w:style w:type="paragraph" w:styleId="a8">
    <w:name w:val="footer"/>
    <w:basedOn w:val="a"/>
    <w:link w:val="a9"/>
    <w:uiPriority w:val="99"/>
    <w:semiHidden/>
    <w:unhideWhenUsed/>
    <w:rsid w:val="00F42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422C4"/>
  </w:style>
  <w:style w:type="character" w:customStyle="1" w:styleId="10">
    <w:name w:val="Заголовок 1 Знак"/>
    <w:basedOn w:val="a0"/>
    <w:link w:val="1"/>
    <w:uiPriority w:val="9"/>
    <w:rsid w:val="003C7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rsid w:val="003C74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3C74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Body Text"/>
    <w:basedOn w:val="a"/>
    <w:link w:val="ad"/>
    <w:uiPriority w:val="99"/>
    <w:unhideWhenUsed/>
    <w:rsid w:val="003C74F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C74F7"/>
  </w:style>
  <w:style w:type="paragraph" w:styleId="ae">
    <w:name w:val="Body Text Indent"/>
    <w:basedOn w:val="a"/>
    <w:link w:val="af"/>
    <w:uiPriority w:val="99"/>
    <w:unhideWhenUsed/>
    <w:rsid w:val="003C74F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C74F7"/>
  </w:style>
  <w:style w:type="paragraph" w:styleId="af0">
    <w:name w:val="Body Text First Indent"/>
    <w:basedOn w:val="ac"/>
    <w:link w:val="af1"/>
    <w:uiPriority w:val="99"/>
    <w:unhideWhenUsed/>
    <w:rsid w:val="003C74F7"/>
    <w:pPr>
      <w:spacing w:after="200"/>
      <w:ind w:firstLine="360"/>
    </w:pPr>
  </w:style>
  <w:style w:type="character" w:customStyle="1" w:styleId="af1">
    <w:name w:val="Красная строка Знак"/>
    <w:basedOn w:val="ad"/>
    <w:link w:val="af0"/>
    <w:uiPriority w:val="99"/>
    <w:rsid w:val="003C74F7"/>
  </w:style>
  <w:style w:type="paragraph" w:styleId="af2">
    <w:name w:val="Balloon Text"/>
    <w:basedOn w:val="a"/>
    <w:link w:val="af3"/>
    <w:uiPriority w:val="99"/>
    <w:semiHidden/>
    <w:unhideWhenUsed/>
    <w:rsid w:val="00E45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45E39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BF2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597127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597127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597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CE2F2-14BF-4B39-8872-62E127B4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golovleva</dc:creator>
  <cp:lastModifiedBy>andreeva2</cp:lastModifiedBy>
  <cp:revision>2</cp:revision>
  <cp:lastPrinted>2023-12-12T11:47:00Z</cp:lastPrinted>
  <dcterms:created xsi:type="dcterms:W3CDTF">2023-12-13T09:30:00Z</dcterms:created>
  <dcterms:modified xsi:type="dcterms:W3CDTF">2023-12-13T09:30:00Z</dcterms:modified>
</cp:coreProperties>
</file>